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544" w:right="1385" w:firstLine="440"/>
        <w:spacing w:before="98" w:line="172" w:lineRule="auto"/>
        <w:rPr>
          <w:rFonts w:ascii="Microsoft YaHei" w:hAnsi="Microsoft YaHei" w:eastAsia="Microsoft YaHei" w:cs="Microsoft YaHei"/>
          <w:sz w:val="44"/>
          <w:szCs w:val="44"/>
        </w:rPr>
      </w:pPr>
      <w:r>
        <w:rPr>
          <w:rFonts w:ascii="Microsoft YaHei" w:hAnsi="Microsoft YaHei" w:eastAsia="Microsoft YaHei" w:cs="Microsoft YaHei"/>
          <w:sz w:val="44"/>
          <w:szCs w:val="44"/>
          <w:spacing w:val="-5"/>
        </w:rPr>
        <w:t>咸阳市天然气有限公司</w:t>
      </w:r>
      <w:r>
        <w:rPr>
          <w:rFonts w:ascii="Microsoft YaHei" w:hAnsi="Microsoft YaHei" w:eastAsia="Microsoft YaHei" w:cs="Microsoft YaHei"/>
          <w:sz w:val="44"/>
          <w:szCs w:val="44"/>
        </w:rPr>
        <w:t xml:space="preserve">    </w:t>
      </w:r>
      <w:r>
        <w:rPr>
          <w:rFonts w:ascii="Microsoft YaHei" w:hAnsi="Microsoft YaHei" w:eastAsia="Microsoft YaHei" w:cs="Microsoft YaHei"/>
          <w:sz w:val="44"/>
          <w:szCs w:val="44"/>
          <w:spacing w:val="3"/>
        </w:rPr>
        <w:t>"气化咸阳"</w:t>
      </w:r>
      <w:r>
        <w:rPr>
          <w:rFonts w:ascii="Microsoft YaHei" w:hAnsi="Microsoft YaHei" w:eastAsia="Microsoft YaHei" w:cs="Microsoft YaHei"/>
          <w:sz w:val="44"/>
          <w:szCs w:val="44"/>
          <w:spacing w:val="88"/>
        </w:rPr>
        <w:t xml:space="preserve"> </w:t>
      </w:r>
      <w:r>
        <w:rPr>
          <w:rFonts w:ascii="Microsoft YaHei" w:hAnsi="Microsoft YaHei" w:eastAsia="Microsoft YaHei" w:cs="Microsoft YaHei"/>
          <w:sz w:val="44"/>
          <w:szCs w:val="44"/>
          <w:spacing w:val="3"/>
        </w:rPr>
        <w:t>长输管道托运商</w:t>
      </w:r>
    </w:p>
    <w:p>
      <w:pPr>
        <w:ind w:left="2187"/>
        <w:spacing w:before="76" w:line="446" w:lineRule="exact"/>
        <w:outlineLvl w:val="0"/>
        <w:rPr>
          <w:rFonts w:ascii="Microsoft YaHei" w:hAnsi="Microsoft YaHei" w:eastAsia="Microsoft YaHei" w:cs="Microsoft YaHei"/>
          <w:sz w:val="44"/>
          <w:szCs w:val="44"/>
        </w:rPr>
      </w:pPr>
      <w:r>
        <w:rPr>
          <w:rFonts w:ascii="Microsoft YaHei" w:hAnsi="Microsoft YaHei" w:eastAsia="Microsoft YaHei" w:cs="Microsoft YaHei"/>
          <w:sz w:val="44"/>
          <w:szCs w:val="44"/>
          <w:spacing w:val="-1"/>
          <w:position w:val="-2"/>
        </w:rPr>
        <w:t>准入与退出管理办法</w:t>
      </w:r>
    </w:p>
    <w:p>
      <w:pPr>
        <w:spacing w:line="355" w:lineRule="auto"/>
        <w:rPr>
          <w:rFonts w:ascii="Arial"/>
          <w:sz w:val="21"/>
        </w:rPr>
      </w:pPr>
      <w:r/>
    </w:p>
    <w:p>
      <w:pPr>
        <w:spacing w:line="355" w:lineRule="auto"/>
        <w:rPr>
          <w:rFonts w:ascii="Arial"/>
          <w:sz w:val="21"/>
        </w:rPr>
      </w:pPr>
      <w:r/>
    </w:p>
    <w:p>
      <w:pPr>
        <w:pStyle w:val="BodyText"/>
        <w:ind w:left="2754"/>
        <w:spacing w:before="100" w:line="224" w:lineRule="auto"/>
        <w:outlineLvl w:val="0"/>
        <w:rPr/>
      </w:pPr>
      <w:r>
        <w:rPr>
          <w:b/>
          <w:bCs/>
          <w:spacing w:val="2"/>
        </w:rPr>
        <w:t>一、托运商准入流程</w:t>
      </w:r>
    </w:p>
    <w:p>
      <w:pPr>
        <w:pStyle w:val="BodyText"/>
        <w:ind w:left="19" w:right="95" w:firstLine="667"/>
        <w:spacing w:before="200" w:line="346" w:lineRule="auto"/>
        <w:rPr/>
      </w:pPr>
      <w:r>
        <w:rPr>
          <w:b/>
          <w:bCs/>
          <w:spacing w:val="14"/>
        </w:rPr>
        <w:t>第一条</w:t>
      </w:r>
      <w:r>
        <w:rPr>
          <w:spacing w:val="14"/>
        </w:rPr>
        <w:t xml:space="preserve"> </w:t>
      </w:r>
      <w:r>
        <w:rPr>
          <w:spacing w:val="14"/>
        </w:rPr>
        <w:t>本办法所称的托运商，是指在中华人民共</w:t>
      </w:r>
      <w:r>
        <w:rPr>
          <w:spacing w:val="13"/>
        </w:rPr>
        <w:t>和国</w:t>
      </w:r>
      <w:r>
        <w:rPr>
          <w:spacing w:val="9"/>
        </w:rPr>
        <w:t>境内注册的、符合国家法律法规及相关产业政策的天然气生</w:t>
      </w:r>
      <w:r>
        <w:rPr>
          <w:spacing w:val="9"/>
        </w:rPr>
        <w:t>产企业、贸易商、天然气销售企业及终端用户，包括天然气</w:t>
      </w:r>
      <w:r>
        <w:rPr>
          <w:spacing w:val="9"/>
        </w:rPr>
        <w:t>（含煤制天然气、煤层气、页岩气、致密砂岩气、生物质气</w:t>
      </w:r>
      <w:r>
        <w:rPr>
          <w:spacing w:val="9"/>
        </w:rPr>
        <w:t>等）生产企业、城镇燃气企业、天然气零售企业以及炼化企</w:t>
      </w:r>
      <w:r>
        <w:rPr>
          <w:spacing w:val="9"/>
        </w:rPr>
        <w:t>业、燃气发电企业、天然气工业用户、其他大型天然气直供</w:t>
      </w:r>
      <w:r>
        <w:rPr>
          <w:spacing w:val="-7"/>
        </w:rPr>
        <w:t>用户等。</w:t>
      </w:r>
    </w:p>
    <w:p>
      <w:pPr>
        <w:pStyle w:val="BodyText"/>
        <w:ind w:left="686"/>
        <w:spacing w:line="221" w:lineRule="auto"/>
        <w:rPr/>
      </w:pPr>
      <w:r>
        <w:rPr>
          <w:b/>
          <w:bCs/>
          <w:spacing w:val="5"/>
        </w:rPr>
        <w:t>第二条</w:t>
      </w:r>
      <w:r>
        <w:rPr>
          <w:spacing w:val="68"/>
        </w:rPr>
        <w:t xml:space="preserve"> </w:t>
      </w:r>
      <w:r>
        <w:rPr>
          <w:spacing w:val="5"/>
        </w:rPr>
        <w:t>申请准入的托运商，需符合以下基础</w:t>
      </w:r>
      <w:r>
        <w:rPr>
          <w:spacing w:val="4"/>
        </w:rPr>
        <w:t>条件：</w:t>
      </w:r>
    </w:p>
    <w:p>
      <w:pPr>
        <w:pStyle w:val="BodyText"/>
        <w:ind w:left="659"/>
        <w:spacing w:before="206" w:line="221" w:lineRule="auto"/>
        <w:rPr/>
      </w:pPr>
      <w:r>
        <w:rPr>
          <w:spacing w:val="2"/>
        </w:rPr>
        <w:t>（</w:t>
      </w:r>
      <w:r>
        <w:rPr>
          <w:spacing w:val="-67"/>
        </w:rPr>
        <w:t xml:space="preserve"> </w:t>
      </w:r>
      <w:r>
        <w:rPr>
          <w:spacing w:val="2"/>
        </w:rPr>
        <w:t>一）在中华人民共和国境内注册的法人企业；</w:t>
      </w:r>
    </w:p>
    <w:p>
      <w:pPr>
        <w:pStyle w:val="BodyText"/>
        <w:ind w:left="40" w:right="97" w:firstLine="619"/>
        <w:spacing w:before="211" w:line="345" w:lineRule="auto"/>
        <w:rPr/>
      </w:pPr>
      <w:r>
        <w:rPr>
          <w:spacing w:val="9"/>
        </w:rPr>
        <w:t>（二）经营行为符合国家法律法规、地方政府规定</w:t>
      </w:r>
      <w:r>
        <w:rPr>
          <w:spacing w:val="8"/>
        </w:rPr>
        <w:t>及相</w:t>
      </w:r>
      <w:r>
        <w:rPr>
          <w:spacing w:val="-4"/>
        </w:rPr>
        <w:t>关产业政策；</w:t>
      </w:r>
    </w:p>
    <w:p>
      <w:pPr>
        <w:pStyle w:val="BodyText"/>
        <w:ind w:left="659"/>
        <w:spacing w:line="222" w:lineRule="auto"/>
        <w:rPr/>
      </w:pPr>
      <w:r>
        <w:rPr>
          <w:spacing w:val="5"/>
        </w:rPr>
        <w:t>（三）具有天然气业务相关行政许可；</w:t>
      </w:r>
    </w:p>
    <w:p>
      <w:pPr>
        <w:pStyle w:val="BodyText"/>
        <w:ind w:left="659"/>
        <w:spacing w:before="208" w:line="223" w:lineRule="auto"/>
        <w:rPr/>
      </w:pPr>
      <w:r>
        <w:rPr>
          <w:spacing w:val="4"/>
        </w:rPr>
        <w:t>（四）具有安全生产相关资质、资格；</w:t>
      </w:r>
    </w:p>
    <w:p>
      <w:pPr>
        <w:pStyle w:val="BodyText"/>
        <w:spacing w:before="207" w:line="223" w:lineRule="auto"/>
        <w:jc w:val="right"/>
        <w:rPr/>
      </w:pPr>
      <w:r>
        <w:rPr>
          <w:spacing w:val="10"/>
        </w:rPr>
        <w:t>（五）</w:t>
      </w:r>
      <w:r>
        <w:rPr>
          <w:spacing w:val="-84"/>
        </w:rPr>
        <w:t xml:space="preserve"> </w:t>
      </w:r>
      <w:r>
        <w:rPr>
          <w:spacing w:val="10"/>
        </w:rPr>
        <w:t>经营和财务状况良好，无违法或不良信用记录。</w:t>
      </w:r>
    </w:p>
    <w:p>
      <w:pPr>
        <w:pStyle w:val="BodyText"/>
        <w:ind w:left="26" w:firstLine="632"/>
        <w:spacing w:before="206" w:line="345" w:lineRule="auto"/>
        <w:rPr/>
      </w:pPr>
      <w:r>
        <w:rPr>
          <w:spacing w:val="9"/>
        </w:rPr>
        <w:t>（六）用户申请接入管网设施的天然气设备应当符合国</w:t>
      </w:r>
      <w:r>
        <w:rPr/>
        <w:t>家质量标准，并符合咸阳市天然气有限公司相关技术、安全、</w:t>
      </w:r>
      <w:r>
        <w:rPr>
          <w:spacing w:val="5"/>
        </w:rPr>
        <w:t>环保要求，具备必要的安全生产条件。</w:t>
      </w:r>
    </w:p>
    <w:p>
      <w:pPr>
        <w:pStyle w:val="BodyText"/>
        <w:ind w:left="659"/>
        <w:spacing w:before="1" w:line="223" w:lineRule="auto"/>
        <w:rPr/>
      </w:pPr>
      <w:r>
        <w:rPr>
          <w:spacing w:val="6"/>
        </w:rPr>
        <w:t>（七）原则上需与公司所属管道联通。</w:t>
      </w:r>
    </w:p>
    <w:p>
      <w:pPr>
        <w:pStyle w:val="BodyText"/>
        <w:ind w:left="659"/>
        <w:spacing w:before="205" w:line="221" w:lineRule="auto"/>
        <w:rPr/>
      </w:pPr>
      <w:r>
        <w:rPr>
          <w:spacing w:val="6"/>
        </w:rPr>
        <w:t>（八）满足公司在交接点的压力要求。</w:t>
      </w:r>
    </w:p>
    <w:p>
      <w:pPr>
        <w:spacing w:line="221" w:lineRule="auto"/>
        <w:sectPr>
          <w:pgSz w:w="11907" w:h="16839"/>
          <w:pgMar w:top="1431" w:right="1708" w:bottom="0" w:left="1785" w:header="0" w:footer="0" w:gutter="0"/>
        </w:sectPr>
        <w:rPr/>
      </w:pPr>
    </w:p>
    <w:p>
      <w:pPr>
        <w:pStyle w:val="BodyText"/>
        <w:ind w:left="659"/>
        <w:spacing w:before="200" w:line="223" w:lineRule="auto"/>
        <w:rPr/>
      </w:pPr>
      <w:r>
        <w:rPr>
          <w:spacing w:val="8"/>
        </w:rPr>
        <w:t>（九）满足公司计量相关规定等。</w:t>
      </w:r>
    </w:p>
    <w:p>
      <w:pPr>
        <w:pStyle w:val="BodyText"/>
        <w:ind w:left="659"/>
        <w:spacing w:before="203" w:line="223" w:lineRule="auto"/>
        <w:rPr/>
      </w:pPr>
      <w:r>
        <w:rPr>
          <w:spacing w:val="8"/>
        </w:rPr>
        <w:t>（十）满足公司规定的其他要求。</w:t>
      </w:r>
    </w:p>
    <w:p>
      <w:pPr>
        <w:pStyle w:val="BodyText"/>
        <w:ind w:left="28" w:right="84" w:firstLine="658"/>
        <w:spacing w:before="211" w:line="345" w:lineRule="auto"/>
        <w:rPr/>
      </w:pPr>
      <w:r>
        <w:rPr>
          <w:b/>
          <w:bCs/>
          <w:spacing w:val="11"/>
        </w:rPr>
        <w:t>第三条</w:t>
      </w:r>
      <w:r>
        <w:rPr>
          <w:spacing w:val="84"/>
        </w:rPr>
        <w:t xml:space="preserve"> </w:t>
      </w:r>
      <w:r>
        <w:rPr>
          <w:spacing w:val="11"/>
        </w:rPr>
        <w:t>申请办理公司托运商准入的企业在办理时，需</w:t>
      </w:r>
      <w:r>
        <w:rPr>
          <w:spacing w:val="8"/>
        </w:rPr>
        <w:t>按准入要求以书面形式向公司提交托运商准入申请表（详见</w:t>
      </w:r>
      <w:r>
        <w:rPr>
          <w:spacing w:val="5"/>
        </w:rPr>
        <w:t>附件</w:t>
      </w:r>
      <w:r>
        <w:rPr>
          <w:spacing w:val="-81"/>
          <w:w w:val="93"/>
        </w:rPr>
        <w:t>），</w:t>
      </w:r>
      <w:r>
        <w:rPr>
          <w:spacing w:val="5"/>
        </w:rPr>
        <w:t>并附有相关资质证明，具体包括：营业执照</w:t>
      </w:r>
      <w:r>
        <w:rPr>
          <w:spacing w:val="4"/>
        </w:rPr>
        <w:t>、资质证</w:t>
      </w:r>
      <w:r>
        <w:rPr>
          <w:spacing w:val="8"/>
        </w:rPr>
        <w:t>明（燃气经营许可证、危化品经营许可证、危化品运输许可</w:t>
      </w:r>
      <w:r>
        <w:rPr>
          <w:spacing w:val="-3"/>
        </w:rPr>
        <w:t>证、安全生产许可证之一或多项）、企业信用报告等，申请表</w:t>
      </w:r>
      <w:r>
        <w:rPr>
          <w:spacing w:val="3"/>
        </w:rPr>
        <w:t>需加盖托运商公章。</w:t>
      </w:r>
    </w:p>
    <w:p>
      <w:pPr>
        <w:pStyle w:val="BodyText"/>
        <w:ind w:left="26" w:right="1" w:firstLine="659"/>
        <w:spacing w:before="2" w:line="345" w:lineRule="auto"/>
        <w:rPr/>
      </w:pPr>
      <w:r>
        <w:rPr>
          <w:b/>
          <w:bCs/>
          <w:spacing w:val="4"/>
        </w:rPr>
        <w:t>第四条</w:t>
      </w:r>
      <w:r>
        <w:rPr>
          <w:spacing w:val="4"/>
        </w:rPr>
        <w:t xml:space="preserve"> </w:t>
      </w:r>
      <w:r>
        <w:rPr>
          <w:spacing w:val="4"/>
        </w:rPr>
        <w:t>公司在申请方提交资质申请的</w:t>
      </w:r>
      <w:r>
        <w:rPr>
          <w:spacing w:val="4"/>
        </w:rPr>
        <w:t xml:space="preserve"> </w:t>
      </w:r>
      <w:r>
        <w:rPr>
          <w:spacing w:val="4"/>
        </w:rPr>
        <w:t>10</w:t>
      </w:r>
      <w:r>
        <w:rPr>
          <w:spacing w:val="4"/>
        </w:rPr>
        <w:t xml:space="preserve"> </w:t>
      </w:r>
      <w:r>
        <w:rPr>
          <w:spacing w:val="4"/>
        </w:rPr>
        <w:t>个工作日内，</w:t>
      </w:r>
      <w:r>
        <w:rPr>
          <w:spacing w:val="8"/>
        </w:rPr>
        <w:t>以书面形式告知受理结果，对于审核驳回的，应及时告知原</w:t>
      </w:r>
      <w:r>
        <w:rPr>
          <w:spacing w:val="5"/>
        </w:rPr>
        <w:t>因；对于因资料不全等原因导致审核不通过的，</w:t>
      </w:r>
      <w:r>
        <w:rPr>
          <w:spacing w:val="-58"/>
        </w:rPr>
        <w:t xml:space="preserve"> </w:t>
      </w:r>
      <w:r>
        <w:rPr>
          <w:spacing w:val="5"/>
        </w:rPr>
        <w:t>申请方应在</w:t>
      </w:r>
      <w:r>
        <w:rPr>
          <w:spacing w:val="4"/>
        </w:rPr>
        <w:t>接到通知的</w:t>
      </w:r>
      <w:r>
        <w:rPr>
          <w:spacing w:val="-45"/>
        </w:rPr>
        <w:t xml:space="preserve"> </w:t>
      </w:r>
      <w:r>
        <w:rPr>
          <w:spacing w:val="4"/>
        </w:rPr>
        <w:t>5</w:t>
      </w:r>
      <w:r>
        <w:rPr>
          <w:spacing w:val="-60"/>
        </w:rPr>
        <w:t xml:space="preserve"> </w:t>
      </w:r>
      <w:r>
        <w:rPr>
          <w:spacing w:val="4"/>
        </w:rPr>
        <w:t>个工作日内提交补充或替换资料。</w:t>
      </w:r>
    </w:p>
    <w:p>
      <w:pPr>
        <w:pStyle w:val="BodyText"/>
        <w:ind w:left="25" w:right="87" w:firstLine="660"/>
        <w:spacing w:before="2" w:line="345" w:lineRule="auto"/>
        <w:rPr/>
      </w:pPr>
      <w:r>
        <w:rPr>
          <w:b/>
          <w:bCs/>
          <w:spacing w:val="14"/>
        </w:rPr>
        <w:t>第五条</w:t>
      </w:r>
      <w:r>
        <w:rPr>
          <w:spacing w:val="14"/>
        </w:rPr>
        <w:t xml:space="preserve"> </w:t>
      </w:r>
      <w:r>
        <w:rPr>
          <w:spacing w:val="14"/>
        </w:rPr>
        <w:t>对符合准入条件的申请企业，通过审核后</w:t>
      </w:r>
      <w:r>
        <w:rPr>
          <w:spacing w:val="13"/>
        </w:rPr>
        <w:t>纳入</w:t>
      </w:r>
      <w:r>
        <w:rPr>
          <w:spacing w:val="9"/>
        </w:rPr>
        <w:t>公司托运商名单，建立托运商档案，提供管</w:t>
      </w:r>
      <w:r>
        <w:rPr>
          <w:spacing w:val="8"/>
        </w:rPr>
        <w:t>网设施公平开放</w:t>
      </w:r>
      <w:r>
        <w:rPr>
          <w:spacing w:val="9"/>
        </w:rPr>
        <w:t>服务。经营管理部年度汇总托运商准入受理</w:t>
      </w:r>
      <w:r>
        <w:rPr>
          <w:spacing w:val="8"/>
        </w:rPr>
        <w:t>情况，对未通过</w:t>
      </w:r>
      <w:r>
        <w:rPr>
          <w:spacing w:val="7"/>
        </w:rPr>
        <w:t>条件审核的企业进行说明。</w:t>
      </w:r>
    </w:p>
    <w:p>
      <w:pPr>
        <w:pStyle w:val="BodyText"/>
        <w:ind w:left="2752"/>
        <w:spacing w:before="1" w:line="224" w:lineRule="auto"/>
        <w:outlineLvl w:val="0"/>
        <w:rPr/>
      </w:pPr>
      <w:r>
        <w:rPr>
          <w:b/>
          <w:bCs/>
          <w:spacing w:val="3"/>
        </w:rPr>
        <w:t>二、托运商退出管理</w:t>
      </w:r>
    </w:p>
    <w:p>
      <w:pPr>
        <w:pStyle w:val="BodyText"/>
        <w:spacing w:before="204" w:line="223" w:lineRule="auto"/>
        <w:outlineLvl w:val="1"/>
        <w:jc w:val="right"/>
        <w:rPr/>
      </w:pPr>
      <w:r>
        <w:rPr>
          <w:b/>
          <w:bCs/>
          <w:spacing w:val="4"/>
        </w:rPr>
        <w:t>第六条</w:t>
      </w:r>
      <w:r>
        <w:rPr>
          <w:spacing w:val="4"/>
        </w:rPr>
        <w:t xml:space="preserve"> </w:t>
      </w:r>
      <w:r>
        <w:rPr>
          <w:spacing w:val="4"/>
        </w:rPr>
        <w:t>对有下列情形之一的托运商，将视为主</w:t>
      </w:r>
      <w:r>
        <w:rPr>
          <w:spacing w:val="3"/>
        </w:rPr>
        <w:t>动退出：</w:t>
      </w:r>
    </w:p>
    <w:p>
      <w:pPr>
        <w:pStyle w:val="BodyText"/>
        <w:ind w:left="25" w:firstLine="634"/>
        <w:spacing w:before="208" w:line="345" w:lineRule="auto"/>
        <w:rPr/>
      </w:pPr>
      <w:r>
        <w:rPr>
          <w:spacing w:val="5"/>
        </w:rPr>
        <w:t>（</w:t>
      </w:r>
      <w:r>
        <w:rPr>
          <w:spacing w:val="-66"/>
        </w:rPr>
        <w:t xml:space="preserve"> </w:t>
      </w:r>
      <w:r>
        <w:rPr>
          <w:spacing w:val="5"/>
        </w:rPr>
        <w:t>一</w:t>
      </w:r>
      <w:r>
        <w:rPr>
          <w:spacing w:val="-61"/>
        </w:rPr>
        <w:t xml:space="preserve"> </w:t>
      </w:r>
      <w:r>
        <w:rPr>
          <w:spacing w:val="5"/>
        </w:rPr>
        <w:t>）托运商在服务合同履约结束后主动提出退出的，</w:t>
      </w:r>
      <w:r>
        <w:rPr>
          <w:spacing w:val="4"/>
        </w:rPr>
        <w:t>需在服务合同履约结束前</w:t>
      </w:r>
      <w:r>
        <w:rPr>
          <w:spacing w:val="-34"/>
        </w:rPr>
        <w:t xml:space="preserve"> </w:t>
      </w:r>
      <w:r>
        <w:rPr>
          <w:spacing w:val="4"/>
        </w:rPr>
        <w:t>10</w:t>
      </w:r>
      <w:r>
        <w:rPr>
          <w:spacing w:val="-67"/>
        </w:rPr>
        <w:t xml:space="preserve"> </w:t>
      </w:r>
      <w:r>
        <w:rPr>
          <w:spacing w:val="4"/>
        </w:rPr>
        <w:t>个工作日向公司发出书面申请，</w:t>
      </w:r>
      <w:r>
        <w:rPr>
          <w:spacing w:val="7"/>
        </w:rPr>
        <w:t>公司将其移出托运商名单。</w:t>
      </w:r>
    </w:p>
    <w:p>
      <w:pPr>
        <w:pStyle w:val="BodyText"/>
        <w:ind w:left="26" w:right="84" w:firstLine="632"/>
        <w:spacing w:before="2" w:line="345" w:lineRule="auto"/>
        <w:rPr/>
      </w:pPr>
      <w:r>
        <w:rPr>
          <w:spacing w:val="7"/>
        </w:rPr>
        <w:t>（二）托运商</w:t>
      </w:r>
      <w:r>
        <w:rPr>
          <w:spacing w:val="-50"/>
        </w:rPr>
        <w:t xml:space="preserve"> </w:t>
      </w:r>
      <w:r>
        <w:rPr>
          <w:spacing w:val="7"/>
        </w:rPr>
        <w:t>2</w:t>
      </w:r>
      <w:r>
        <w:rPr>
          <w:spacing w:val="-56"/>
        </w:rPr>
        <w:t xml:space="preserve"> </w:t>
      </w:r>
      <w:r>
        <w:rPr>
          <w:spacing w:val="7"/>
        </w:rPr>
        <w:t>年内未申请及使用管网设施服务</w:t>
      </w:r>
      <w:r>
        <w:rPr>
          <w:spacing w:val="6"/>
        </w:rPr>
        <w:t>，管网</w:t>
      </w:r>
      <w:r>
        <w:rPr>
          <w:spacing w:val="7"/>
        </w:rPr>
        <w:t>运营企业将其计入观察名单并予以书面提醒</w:t>
      </w:r>
      <w:r>
        <w:rPr>
          <w:spacing w:val="6"/>
        </w:rPr>
        <w:t>，后续</w:t>
      </w:r>
      <w:r>
        <w:rPr>
          <w:spacing w:val="-40"/>
        </w:rPr>
        <w:t xml:space="preserve"> </w:t>
      </w:r>
      <w:r>
        <w:rPr>
          <w:spacing w:val="6"/>
        </w:rPr>
        <w:t>1</w:t>
      </w:r>
      <w:r>
        <w:rPr>
          <w:spacing w:val="-59"/>
        </w:rPr>
        <w:t xml:space="preserve"> </w:t>
      </w:r>
      <w:r>
        <w:rPr>
          <w:spacing w:val="6"/>
        </w:rPr>
        <w:t>年内仍</w:t>
      </w:r>
      <w:r>
        <w:rPr>
          <w:spacing w:val="8"/>
        </w:rPr>
        <w:t>未提交申请并使用管网设施服务的，公司书面告知后，将其</w:t>
      </w:r>
    </w:p>
    <w:p>
      <w:pPr>
        <w:spacing w:line="345" w:lineRule="auto"/>
        <w:sectPr>
          <w:pgSz w:w="11907" w:h="16839"/>
          <w:pgMar w:top="1431" w:right="1715" w:bottom="0" w:left="1785" w:header="0" w:footer="0" w:gutter="0"/>
        </w:sectPr>
        <w:rPr/>
      </w:pPr>
    </w:p>
    <w:p>
      <w:pPr>
        <w:pStyle w:val="BodyText"/>
        <w:ind w:left="35"/>
        <w:spacing w:before="201" w:line="221" w:lineRule="auto"/>
        <w:rPr/>
      </w:pPr>
      <w:r>
        <w:rPr>
          <w:spacing w:val="5"/>
        </w:rPr>
        <w:t>移出托运商名单，并保留已有合作记录。</w:t>
      </w:r>
    </w:p>
    <w:p>
      <w:pPr>
        <w:pStyle w:val="BodyText"/>
        <w:ind w:left="24" w:right="78" w:firstLine="661"/>
        <w:spacing w:before="208" w:line="345" w:lineRule="auto"/>
        <w:jc w:val="both"/>
        <w:rPr/>
      </w:pPr>
      <w:r>
        <w:rPr>
          <w:b/>
          <w:bCs/>
          <w:spacing w:val="14"/>
        </w:rPr>
        <w:t>第七条</w:t>
      </w:r>
      <w:r>
        <w:rPr>
          <w:spacing w:val="14"/>
        </w:rPr>
        <w:t xml:space="preserve"> </w:t>
      </w:r>
      <w:r>
        <w:rPr>
          <w:spacing w:val="14"/>
        </w:rPr>
        <w:t>对有下列情形之一且经审核属实的托运商</w:t>
      </w:r>
      <w:r>
        <w:rPr>
          <w:spacing w:val="13"/>
        </w:rPr>
        <w:t>，将</w:t>
      </w:r>
      <w:r>
        <w:rPr>
          <w:spacing w:val="12"/>
        </w:rPr>
        <w:t>其列入强制退出名单并进行注销注册，并由公司书</w:t>
      </w:r>
      <w:r>
        <w:rPr>
          <w:spacing w:val="11"/>
        </w:rPr>
        <w:t>面告知，</w:t>
      </w:r>
      <w:r>
        <w:rPr>
          <w:spacing w:val="6"/>
        </w:rPr>
        <w:t>托运商可于</w:t>
      </w:r>
      <w:r>
        <w:rPr>
          <w:spacing w:val="6"/>
        </w:rPr>
        <w:t xml:space="preserve"> </w:t>
      </w:r>
      <w:r>
        <w:rPr>
          <w:spacing w:val="6"/>
        </w:rPr>
        <w:t>5</w:t>
      </w:r>
      <w:r>
        <w:rPr>
          <w:spacing w:val="35"/>
        </w:rPr>
        <w:t xml:space="preserve"> </w:t>
      </w:r>
      <w:r>
        <w:rPr>
          <w:spacing w:val="6"/>
        </w:rPr>
        <w:t>个工作日申请复核：</w:t>
      </w:r>
    </w:p>
    <w:p>
      <w:pPr>
        <w:pStyle w:val="BodyText"/>
        <w:ind w:left="29" w:right="173" w:firstLine="630"/>
        <w:spacing w:line="346" w:lineRule="auto"/>
        <w:rPr/>
      </w:pPr>
      <w:r>
        <w:rPr>
          <w:spacing w:val="5"/>
        </w:rPr>
        <w:t>（</w:t>
      </w:r>
      <w:r>
        <w:rPr>
          <w:spacing w:val="-77"/>
        </w:rPr>
        <w:t xml:space="preserve"> </w:t>
      </w:r>
      <w:r>
        <w:rPr>
          <w:spacing w:val="5"/>
        </w:rPr>
        <w:t>一）隐瞒有关情况或者提供虚假注册申请材料违规进</w:t>
      </w:r>
      <w:r>
        <w:rPr>
          <w:spacing w:val="6"/>
        </w:rPr>
        <w:t>入托运商名单的。</w:t>
      </w:r>
    </w:p>
    <w:p>
      <w:pPr>
        <w:pStyle w:val="BodyText"/>
        <w:ind w:left="659"/>
        <w:spacing w:line="223" w:lineRule="auto"/>
        <w:rPr/>
      </w:pPr>
      <w:r>
        <w:rPr>
          <w:spacing w:val="6"/>
        </w:rPr>
        <w:t>（二）严重违反管输服务合同，且拒不整改的。</w:t>
      </w:r>
    </w:p>
    <w:p>
      <w:pPr>
        <w:pStyle w:val="BodyText"/>
        <w:ind w:left="17" w:right="177" w:firstLine="642"/>
        <w:spacing w:before="202" w:line="346" w:lineRule="auto"/>
        <w:rPr/>
      </w:pPr>
      <w:r>
        <w:rPr>
          <w:spacing w:val="8"/>
        </w:rPr>
        <w:t>（三）企业存在重大失信情况，被有关部门纳入严重失</w:t>
      </w:r>
      <w:r>
        <w:rPr>
          <w:spacing w:val="1"/>
        </w:rPr>
        <w:t>信主体名单的。</w:t>
      </w:r>
    </w:p>
    <w:p>
      <w:pPr>
        <w:pStyle w:val="BodyText"/>
        <w:ind w:left="34" w:right="68" w:firstLine="625"/>
        <w:spacing w:before="3" w:line="343" w:lineRule="auto"/>
        <w:rPr/>
      </w:pPr>
      <w:r>
        <w:rPr>
          <w:spacing w:val="12"/>
        </w:rPr>
        <w:t>（四）企业营业执照或相关资质许可证明过期失效的，</w:t>
      </w:r>
      <w:r>
        <w:rPr>
          <w:spacing w:val="4"/>
        </w:rPr>
        <w:t>且在限期内未取得新证件的。</w:t>
      </w:r>
    </w:p>
    <w:p>
      <w:pPr>
        <w:pStyle w:val="BodyText"/>
        <w:ind w:left="28" w:right="179" w:firstLine="631"/>
        <w:spacing w:before="5" w:line="345" w:lineRule="auto"/>
        <w:rPr/>
      </w:pPr>
      <w:r>
        <w:rPr>
          <w:spacing w:val="8"/>
        </w:rPr>
        <w:t>（五）违反国家相关法律法规规定或被取消相关经营资</w:t>
      </w:r>
      <w:r>
        <w:rPr>
          <w:spacing w:val="-13"/>
        </w:rPr>
        <w:t>质的。</w:t>
      </w:r>
    </w:p>
    <w:p>
      <w:pPr>
        <w:pStyle w:val="BodyText"/>
        <w:ind w:left="40" w:right="156" w:firstLine="645"/>
        <w:spacing w:before="3" w:line="345" w:lineRule="auto"/>
        <w:rPr/>
      </w:pPr>
      <w:r>
        <w:rPr>
          <w:b/>
          <w:bCs/>
          <w:spacing w:val="14"/>
        </w:rPr>
        <w:t>第八条</w:t>
      </w:r>
      <w:r>
        <w:rPr>
          <w:spacing w:val="14"/>
        </w:rPr>
        <w:t xml:space="preserve"> </w:t>
      </w:r>
      <w:r>
        <w:rPr>
          <w:spacing w:val="14"/>
        </w:rPr>
        <w:t>退出企业如有意愿重新申请，应在后续托</w:t>
      </w:r>
      <w:r>
        <w:rPr>
          <w:spacing w:val="13"/>
        </w:rPr>
        <w:t>运商</w:t>
      </w:r>
      <w:r>
        <w:rPr>
          <w:spacing w:val="7"/>
        </w:rPr>
        <w:t>资质认证时，重新提交有关材料。</w:t>
      </w:r>
    </w:p>
    <w:p>
      <w:pPr>
        <w:pStyle w:val="BodyText"/>
        <w:ind w:left="3079"/>
        <w:spacing w:before="1" w:line="223" w:lineRule="auto"/>
        <w:outlineLvl w:val="0"/>
        <w:rPr/>
      </w:pPr>
      <w:r>
        <w:rPr>
          <w:b/>
          <w:bCs/>
        </w:rPr>
        <w:t>三、权利与义务</w:t>
      </w:r>
    </w:p>
    <w:p>
      <w:pPr>
        <w:pStyle w:val="BodyText"/>
        <w:ind w:left="686"/>
        <w:spacing w:before="203" w:line="224" w:lineRule="auto"/>
        <w:outlineLvl w:val="1"/>
        <w:rPr/>
      </w:pPr>
      <w:r>
        <w:rPr>
          <w:b/>
          <w:bCs/>
          <w:spacing w:val="3"/>
        </w:rPr>
        <w:t>第九条</w:t>
      </w:r>
      <w:r>
        <w:rPr>
          <w:spacing w:val="3"/>
        </w:rPr>
        <w:t xml:space="preserve"> </w:t>
      </w:r>
      <w:r>
        <w:rPr>
          <w:spacing w:val="3"/>
        </w:rPr>
        <w:t>托运商准入后，享有以下权利：</w:t>
      </w:r>
    </w:p>
    <w:p>
      <w:pPr>
        <w:pStyle w:val="BodyText"/>
        <w:ind w:left="17" w:right="156" w:firstLine="642"/>
        <w:spacing w:before="208" w:line="345" w:lineRule="auto"/>
        <w:rPr/>
      </w:pPr>
      <w:r>
        <w:rPr>
          <w:spacing w:val="5"/>
        </w:rPr>
        <w:t>（</w:t>
      </w:r>
      <w:r>
        <w:rPr>
          <w:spacing w:val="-62"/>
        </w:rPr>
        <w:t xml:space="preserve"> </w:t>
      </w:r>
      <w:r>
        <w:rPr>
          <w:spacing w:val="5"/>
        </w:rPr>
        <w:t>一）向公司申请天然气管网设施容量服务。申请内容</w:t>
      </w:r>
      <w:r>
        <w:rPr>
          <w:spacing w:val="9"/>
        </w:rPr>
        <w:t>包括但不限于托运商申请的容量产品名称、服务时间和服务</w:t>
      </w:r>
      <w:r>
        <w:rPr>
          <w:spacing w:val="8"/>
        </w:rPr>
        <w:t>量，交付上载点与提取下载点等。</w:t>
      </w:r>
    </w:p>
    <w:p>
      <w:pPr>
        <w:pStyle w:val="BodyText"/>
        <w:ind w:left="23" w:firstLine="636"/>
        <w:spacing w:before="1" w:line="345" w:lineRule="auto"/>
        <w:rPr/>
      </w:pPr>
      <w:r>
        <w:rPr>
          <w:spacing w:val="2"/>
        </w:rPr>
        <w:t>（二）要求公司按照《油气管网设施公平开放监管办法》</w:t>
      </w:r>
      <w:r>
        <w:rPr>
          <w:spacing w:val="9"/>
        </w:rPr>
        <w:t>及信息公开相关规定，披露申请托运业务所需的相关油气管</w:t>
      </w:r>
      <w:r>
        <w:rPr>
          <w:spacing w:val="3"/>
        </w:rPr>
        <w:t>网设施运行参数和信息。</w:t>
      </w:r>
    </w:p>
    <w:p>
      <w:pPr>
        <w:pStyle w:val="BodyText"/>
        <w:ind w:left="659"/>
        <w:spacing w:line="224" w:lineRule="auto"/>
        <w:rPr/>
      </w:pPr>
      <w:r>
        <w:rPr>
          <w:spacing w:val="7"/>
        </w:rPr>
        <w:t>（三）要求公司按照合同约定提供天然气运输服务。</w:t>
      </w:r>
    </w:p>
    <w:p>
      <w:pPr>
        <w:spacing w:line="224" w:lineRule="auto"/>
        <w:sectPr>
          <w:pgSz w:w="11907" w:h="16839"/>
          <w:pgMar w:top="1431" w:right="1647" w:bottom="0" w:left="1785" w:header="0" w:footer="0" w:gutter="0"/>
        </w:sectPr>
        <w:rPr/>
      </w:pPr>
    </w:p>
    <w:p>
      <w:pPr>
        <w:pStyle w:val="BodyText"/>
        <w:ind w:left="683"/>
        <w:spacing w:before="200" w:line="222" w:lineRule="auto"/>
        <w:rPr/>
      </w:pPr>
      <w:r>
        <w:rPr>
          <w:spacing w:val="7"/>
        </w:rPr>
        <w:t>第十二条</w:t>
      </w:r>
      <w:r>
        <w:rPr>
          <w:spacing w:val="7"/>
        </w:rPr>
        <w:t xml:space="preserve"> </w:t>
      </w:r>
      <w:r>
        <w:rPr>
          <w:spacing w:val="7"/>
        </w:rPr>
        <w:t>托运商准入后，应履行义务</w:t>
      </w:r>
    </w:p>
    <w:p>
      <w:pPr>
        <w:pStyle w:val="BodyText"/>
        <w:ind w:left="20" w:right="162" w:firstLine="638"/>
        <w:spacing w:before="205" w:line="346" w:lineRule="auto"/>
        <w:rPr/>
      </w:pPr>
      <w:r>
        <w:rPr>
          <w:spacing w:val="5"/>
        </w:rPr>
        <w:t>（</w:t>
      </w:r>
      <w:r>
        <w:rPr>
          <w:spacing w:val="-66"/>
        </w:rPr>
        <w:t xml:space="preserve"> </w:t>
      </w:r>
      <w:r>
        <w:rPr>
          <w:spacing w:val="5"/>
        </w:rPr>
        <w:t>一</w:t>
      </w:r>
      <w:r>
        <w:rPr>
          <w:spacing w:val="-61"/>
        </w:rPr>
        <w:t xml:space="preserve"> </w:t>
      </w:r>
      <w:r>
        <w:rPr>
          <w:spacing w:val="5"/>
        </w:rPr>
        <w:t>）遵守公司发布的相关技术管理准则和操作程序，</w:t>
      </w:r>
      <w:r>
        <w:rPr>
          <w:spacing w:val="8"/>
        </w:rPr>
        <w:t>严格按合同约定交付和提取托运的天然气。</w:t>
      </w:r>
    </w:p>
    <w:p>
      <w:pPr>
        <w:pStyle w:val="BodyText"/>
        <w:ind w:left="30" w:right="290" w:firstLine="629"/>
        <w:spacing w:before="2" w:line="344" w:lineRule="auto"/>
        <w:rPr/>
      </w:pPr>
      <w:r>
        <w:rPr>
          <w:spacing w:val="7"/>
        </w:rPr>
        <w:t>（二）承担相应的应急保供责任，对无法履行的合同约</w:t>
      </w:r>
      <w:r>
        <w:rPr>
          <w:spacing w:val="7"/>
        </w:rPr>
        <w:t>定容量提前进行释放，保障管网设施进出气量平衡。</w:t>
      </w:r>
    </w:p>
    <w:p>
      <w:pPr>
        <w:pStyle w:val="BodyText"/>
        <w:ind w:left="3093"/>
        <w:spacing w:before="2" w:line="224" w:lineRule="auto"/>
        <w:outlineLvl w:val="0"/>
        <w:rPr/>
      </w:pPr>
      <w:r>
        <w:rPr>
          <w:b/>
          <w:bCs/>
          <w:spacing w:val="-2"/>
        </w:rPr>
        <w:t>四、责任与监督</w:t>
      </w:r>
    </w:p>
    <w:p>
      <w:pPr>
        <w:pStyle w:val="BodyText"/>
        <w:ind w:left="36" w:right="250" w:firstLine="651"/>
        <w:spacing w:before="206" w:line="345" w:lineRule="auto"/>
        <w:rPr/>
      </w:pPr>
      <w:r>
        <w:rPr>
          <w:b/>
          <w:bCs/>
          <w:spacing w:val="14"/>
        </w:rPr>
        <w:t>第十条</w:t>
      </w:r>
      <w:r>
        <w:rPr>
          <w:spacing w:val="14"/>
        </w:rPr>
        <w:t xml:space="preserve"> </w:t>
      </w:r>
      <w:r>
        <w:rPr>
          <w:spacing w:val="14"/>
        </w:rPr>
        <w:t>按照国家能源局等国家监管机构履行</w:t>
      </w:r>
      <w:r>
        <w:rPr>
          <w:spacing w:val="13"/>
        </w:rPr>
        <w:t>其监管职</w:t>
      </w:r>
      <w:r>
        <w:rPr>
          <w:spacing w:val="8"/>
        </w:rPr>
        <w:t>责的需要，公司提供与监管事项相关的信息和资料，托运商</w:t>
      </w:r>
      <w:r>
        <w:rPr>
          <w:spacing w:val="-2"/>
        </w:rPr>
        <w:t>必须予以配合。</w:t>
      </w:r>
    </w:p>
    <w:p>
      <w:pPr>
        <w:pStyle w:val="BodyText"/>
        <w:ind w:left="40" w:firstLine="648"/>
        <w:spacing w:line="344" w:lineRule="auto"/>
        <w:rPr/>
      </w:pPr>
      <w:r>
        <w:rPr>
          <w:b/>
          <w:bCs/>
          <w:spacing w:val="13"/>
        </w:rPr>
        <w:t>第十一条</w:t>
      </w:r>
      <w:r>
        <w:rPr>
          <w:spacing w:val="13"/>
        </w:rPr>
        <w:t xml:space="preserve"> </w:t>
      </w:r>
      <w:r>
        <w:rPr>
          <w:spacing w:val="13"/>
        </w:rPr>
        <w:t>托运商存在下列行为之一的，公司将向行业</w:t>
      </w:r>
      <w:r>
        <w:rPr>
          <w:spacing w:val="6"/>
        </w:rPr>
        <w:t>主管或监管部门报告，并由相关部门依据职责</w:t>
      </w:r>
      <w:r>
        <w:rPr>
          <w:spacing w:val="5"/>
        </w:rPr>
        <w:t>依法依规处理。</w:t>
      </w:r>
    </w:p>
    <w:p>
      <w:pPr>
        <w:pStyle w:val="BodyText"/>
        <w:ind w:left="664"/>
        <w:spacing w:before="5" w:line="221" w:lineRule="auto"/>
        <w:rPr/>
      </w:pPr>
      <w:r>
        <w:rPr>
          <w:spacing w:val="3"/>
        </w:rPr>
        <w:t>（</w:t>
      </w:r>
      <w:r>
        <w:rPr>
          <w:spacing w:val="-76"/>
        </w:rPr>
        <w:t xml:space="preserve"> </w:t>
      </w:r>
      <w:r>
        <w:rPr>
          <w:spacing w:val="3"/>
        </w:rPr>
        <w:t>一）提供虚假文件、资料或隐瞒重要事实的。</w:t>
      </w:r>
    </w:p>
    <w:p>
      <w:pPr>
        <w:pStyle w:val="BodyText"/>
        <w:ind w:left="664"/>
        <w:spacing w:before="209" w:line="222" w:lineRule="auto"/>
        <w:rPr/>
      </w:pPr>
      <w:r>
        <w:rPr>
          <w:spacing w:val="7"/>
        </w:rPr>
        <w:t>（二）违反保密要求，泄露相关数据信息的。</w:t>
      </w:r>
    </w:p>
    <w:p>
      <w:pPr>
        <w:pStyle w:val="BodyText"/>
        <w:ind w:left="664"/>
        <w:spacing w:before="205" w:line="222" w:lineRule="auto"/>
        <w:rPr/>
      </w:pPr>
      <w:r>
        <w:rPr>
          <w:spacing w:val="14"/>
        </w:rPr>
        <w:t>（三）不履行合同义务，造成重大损失或严重影响的。</w:t>
      </w:r>
    </w:p>
    <w:p>
      <w:pPr>
        <w:pStyle w:val="BodyText"/>
        <w:ind w:left="664"/>
        <w:spacing w:before="208" w:line="223" w:lineRule="auto"/>
        <w:rPr/>
      </w:pPr>
      <w:r>
        <w:rPr>
          <w:spacing w:val="7"/>
        </w:rPr>
        <w:t>（四）恶意囤积天然气管网设施服务能力的。</w:t>
      </w:r>
    </w:p>
    <w:p>
      <w:pPr>
        <w:pStyle w:val="BodyText"/>
        <w:ind w:left="664"/>
        <w:spacing w:before="207" w:line="222" w:lineRule="auto"/>
        <w:rPr/>
      </w:pPr>
      <w:r>
        <w:rPr>
          <w:spacing w:val="6"/>
        </w:rPr>
        <w:t>（五）严重影响天然气管网安全运行的。</w:t>
      </w:r>
    </w:p>
    <w:p>
      <w:pPr>
        <w:pStyle w:val="BodyText"/>
        <w:ind w:left="664"/>
        <w:spacing w:before="205" w:line="221" w:lineRule="auto"/>
        <w:rPr/>
      </w:pPr>
      <w:r>
        <w:rPr>
          <w:spacing w:val="8"/>
        </w:rPr>
        <w:t>（六）存在其他严重扰乱市场秩序行为的。</w:t>
      </w:r>
    </w:p>
    <w:p>
      <w:pPr>
        <w:pStyle w:val="BodyText"/>
        <w:ind w:left="54" w:right="249" w:firstLine="634"/>
        <w:spacing w:before="211" w:line="345" w:lineRule="auto"/>
        <w:rPr/>
      </w:pPr>
      <w:r>
        <w:rPr>
          <w:b/>
          <w:bCs/>
          <w:spacing w:val="13"/>
        </w:rPr>
        <w:t>第十二条</w:t>
      </w:r>
      <w:r>
        <w:rPr>
          <w:spacing w:val="13"/>
        </w:rPr>
        <w:t xml:space="preserve"> </w:t>
      </w:r>
      <w:r>
        <w:rPr>
          <w:spacing w:val="13"/>
        </w:rPr>
        <w:t>对违反国家相关规定，情节严重或拒不整改</w:t>
      </w:r>
      <w:r>
        <w:rPr>
          <w:spacing w:val="5"/>
        </w:rPr>
        <w:t>的，经过公示等程序后纳入严重失信主体名单的，公司</w:t>
      </w:r>
      <w:r>
        <w:rPr>
          <w:spacing w:val="-27"/>
        </w:rPr>
        <w:t xml:space="preserve"> </w:t>
      </w:r>
      <w:r>
        <w:rPr>
          <w:spacing w:val="5"/>
        </w:rPr>
        <w:t>3</w:t>
      </w:r>
      <w:r>
        <w:rPr>
          <w:spacing w:val="-56"/>
        </w:rPr>
        <w:t xml:space="preserve"> </w:t>
      </w:r>
      <w:r>
        <w:rPr>
          <w:spacing w:val="5"/>
        </w:rPr>
        <w:t>年</w:t>
      </w:r>
      <w:r>
        <w:rPr>
          <w:spacing w:val="3"/>
        </w:rPr>
        <w:t>内不再受理该企业注册申请。</w:t>
      </w:r>
    </w:p>
    <w:p>
      <w:pPr>
        <w:pStyle w:val="BodyText"/>
        <w:ind w:left="40" w:right="249" w:firstLine="648"/>
        <w:spacing w:before="4" w:line="345" w:lineRule="auto"/>
        <w:rPr/>
      </w:pPr>
      <w:r>
        <w:rPr>
          <w:b/>
          <w:bCs/>
          <w:spacing w:val="13"/>
        </w:rPr>
        <w:t>第十三条</w:t>
      </w:r>
      <w:r>
        <w:rPr>
          <w:spacing w:val="13"/>
        </w:rPr>
        <w:t xml:space="preserve"> </w:t>
      </w:r>
      <w:r>
        <w:rPr>
          <w:spacing w:val="13"/>
        </w:rPr>
        <w:t>公司无正当理由拒绝企业申请托运商准入或</w:t>
      </w:r>
      <w:r>
        <w:rPr>
          <w:spacing w:val="21"/>
        </w:rPr>
        <w:t>以不合理条件妨碍托运商获得公平服务的申请企业</w:t>
      </w:r>
      <w:r>
        <w:rPr>
          <w:spacing w:val="20"/>
        </w:rPr>
        <w:t>或托运</w:t>
      </w:r>
      <w:r>
        <w:rPr>
          <w:spacing w:val="7"/>
        </w:rPr>
        <w:t>商可以向国家能源局及其派出机构投诉举报。</w:t>
      </w:r>
    </w:p>
    <w:p>
      <w:pPr>
        <w:pStyle w:val="BodyText"/>
        <w:ind w:left="3549"/>
        <w:spacing w:before="2" w:line="224" w:lineRule="auto"/>
        <w:outlineLvl w:val="0"/>
        <w:rPr/>
      </w:pPr>
      <w:r>
        <w:rPr>
          <w:b/>
          <w:bCs/>
          <w:spacing w:val="-11"/>
        </w:rPr>
        <w:t>五、附则</w:t>
      </w:r>
    </w:p>
    <w:p>
      <w:pPr>
        <w:spacing w:line="224" w:lineRule="auto"/>
        <w:sectPr>
          <w:pgSz w:w="11907" w:h="16839"/>
          <w:pgMar w:top="1431" w:right="1553" w:bottom="0" w:left="1785" w:header="0" w:footer="0" w:gutter="0"/>
        </w:sectPr>
        <w:rPr/>
      </w:pPr>
    </w:p>
    <w:p>
      <w:pPr>
        <w:pStyle w:val="BodyText"/>
        <w:ind w:left="30" w:right="16" w:firstLine="657"/>
        <w:spacing w:before="202" w:line="345" w:lineRule="auto"/>
        <w:rPr/>
      </w:pPr>
      <w:r>
        <w:rPr>
          <w:b/>
          <w:bCs/>
          <w:spacing w:val="13"/>
        </w:rPr>
        <w:t>第十四条</w:t>
      </w:r>
      <w:r>
        <w:rPr>
          <w:spacing w:val="13"/>
        </w:rPr>
        <w:t xml:space="preserve"> </w:t>
      </w:r>
      <w:r>
        <w:rPr>
          <w:spacing w:val="13"/>
        </w:rPr>
        <w:t>如遇国家进行有关政策法规调整或出台新规</w:t>
      </w:r>
      <w:r>
        <w:rPr>
          <w:spacing w:val="5"/>
        </w:rPr>
        <w:t>定，调整后的政策法规与本办法中的相关内容不相符时，</w:t>
      </w:r>
      <w:r>
        <w:rPr>
          <w:spacing w:val="-62"/>
        </w:rPr>
        <w:t xml:space="preserve"> </w:t>
      </w:r>
      <w:r>
        <w:rPr>
          <w:spacing w:val="5"/>
        </w:rPr>
        <w:t>以</w:t>
      </w:r>
      <w:r>
        <w:rPr>
          <w:spacing w:val="5"/>
        </w:rPr>
        <w:t>国家政策法规或新规定为准。</w:t>
      </w:r>
    </w:p>
    <w:p>
      <w:pPr>
        <w:pStyle w:val="BodyText"/>
        <w:ind w:left="688"/>
        <w:spacing w:line="222" w:lineRule="auto"/>
        <w:rPr/>
      </w:pPr>
      <w:r>
        <w:rPr>
          <w:b/>
          <w:bCs/>
          <w:spacing w:val="-3"/>
        </w:rPr>
        <w:t>第十五条</w:t>
      </w:r>
      <w:r>
        <w:rPr>
          <w:spacing w:val="-3"/>
        </w:rPr>
        <w:t xml:space="preserve"> </w:t>
      </w:r>
      <w:r>
        <w:rPr>
          <w:spacing w:val="-3"/>
        </w:rPr>
        <w:t>本办法自</w:t>
      </w:r>
      <w:r>
        <w:rPr>
          <w:spacing w:val="-51"/>
        </w:rPr>
        <w:t xml:space="preserve"> </w:t>
      </w:r>
      <w:r>
        <w:rPr>
          <w:spacing w:val="-3"/>
        </w:rPr>
        <w:t>2026</w:t>
      </w:r>
      <w:r>
        <w:rPr>
          <w:spacing w:val="-59"/>
        </w:rPr>
        <w:t xml:space="preserve"> </w:t>
      </w:r>
      <w:r>
        <w:rPr>
          <w:spacing w:val="-3"/>
        </w:rPr>
        <w:t>年</w:t>
      </w:r>
      <w:r>
        <w:rPr>
          <w:spacing w:val="-48"/>
        </w:rPr>
        <w:t xml:space="preserve"> </w:t>
      </w:r>
      <w:r>
        <w:rPr>
          <w:spacing w:val="-3"/>
        </w:rPr>
        <w:t>6</w:t>
      </w:r>
      <w:r>
        <w:rPr>
          <w:spacing w:val="-45"/>
        </w:rPr>
        <w:t xml:space="preserve"> </w:t>
      </w:r>
      <w:r>
        <w:rPr>
          <w:spacing w:val="-3"/>
        </w:rPr>
        <w:t>月</w:t>
      </w:r>
      <w:r>
        <w:rPr>
          <w:spacing w:val="-44"/>
        </w:rPr>
        <w:t xml:space="preserve"> </w:t>
      </w:r>
      <w:r>
        <w:rPr>
          <w:spacing w:val="-3"/>
        </w:rPr>
        <w:t>1</w:t>
      </w:r>
      <w:r>
        <w:rPr>
          <w:spacing w:val="-3"/>
        </w:rPr>
        <w:t xml:space="preserve"> </w:t>
      </w:r>
      <w:r>
        <w:rPr>
          <w:spacing w:val="-3"/>
        </w:rPr>
        <w:t>日起施行。</w:t>
      </w:r>
    </w:p>
    <w:p>
      <w:pPr>
        <w:spacing w:line="340" w:lineRule="auto"/>
        <w:rPr>
          <w:rFonts w:ascii="Arial"/>
          <w:sz w:val="21"/>
        </w:rPr>
      </w:pPr>
      <w:r/>
    </w:p>
    <w:p>
      <w:pPr>
        <w:spacing w:line="341" w:lineRule="auto"/>
        <w:rPr>
          <w:rFonts w:ascii="Arial"/>
          <w:sz w:val="21"/>
        </w:rPr>
      </w:pPr>
      <w:r/>
    </w:p>
    <w:p>
      <w:pPr>
        <w:pStyle w:val="BodyText"/>
        <w:ind w:left="696"/>
        <w:spacing w:before="101" w:line="221" w:lineRule="auto"/>
        <w:rPr/>
      </w:pPr>
      <w:r>
        <w:rPr>
          <w:spacing w:val="6"/>
        </w:rPr>
        <w:t>附件：托运商准入申请表</w:t>
      </w:r>
    </w:p>
    <w:p>
      <w:pPr>
        <w:spacing w:line="221" w:lineRule="auto"/>
        <w:sectPr>
          <w:pgSz w:w="11907" w:h="16839"/>
          <w:pgMar w:top="1431" w:right="1785" w:bottom="0" w:left="1785" w:header="0" w:footer="0" w:gutter="0"/>
        </w:sectPr>
        <w:rPr/>
      </w:pPr>
    </w:p>
    <w:p>
      <w:pPr>
        <w:ind w:left="649"/>
        <w:spacing w:before="162" w:line="225" w:lineRule="auto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-3"/>
        </w:rPr>
        <w:t>附件</w:t>
      </w:r>
    </w:p>
    <w:p>
      <w:pPr>
        <w:spacing w:line="269" w:lineRule="auto"/>
        <w:rPr>
          <w:rFonts w:ascii="Arial"/>
          <w:sz w:val="21"/>
        </w:rPr>
      </w:pPr>
      <w:r/>
    </w:p>
    <w:p>
      <w:pPr>
        <w:ind w:left="1549"/>
        <w:spacing w:before="117" w:line="219" w:lineRule="auto"/>
        <w:outlineLvl w:val="1"/>
        <w:rPr>
          <w:rFonts w:ascii="SimHei" w:hAnsi="SimHei" w:eastAsia="SimHei" w:cs="SimHei"/>
          <w:sz w:val="36"/>
          <w:szCs w:val="36"/>
        </w:rPr>
      </w:pPr>
      <w:r>
        <w:rPr>
          <w:rFonts w:ascii="SimHei" w:hAnsi="SimHei" w:eastAsia="SimHei" w:cs="SimHei"/>
          <w:sz w:val="36"/>
          <w:szCs w:val="36"/>
          <w:spacing w:val="-1"/>
        </w:rPr>
        <w:t>咸阳市天然气有限公司托运商准入申请表</w:t>
      </w:r>
    </w:p>
    <w:p>
      <w:pPr>
        <w:spacing w:line="246" w:lineRule="auto"/>
        <w:rPr>
          <w:rFonts w:ascii="Arial"/>
          <w:sz w:val="21"/>
        </w:rPr>
      </w:pPr>
      <w:r/>
    </w:p>
    <w:p>
      <w:pPr>
        <w:ind w:left="3894"/>
        <w:spacing w:before="71" w:line="218" w:lineRule="auto"/>
        <w:outlineLvl w:val="0"/>
        <w:rPr>
          <w:rFonts w:ascii="KaiTi" w:hAnsi="KaiTi" w:eastAsia="KaiTi" w:cs="KaiTi"/>
          <w:sz w:val="22"/>
          <w:szCs w:val="22"/>
        </w:rPr>
      </w:pPr>
      <w:r>
        <w:rPr>
          <w:rFonts w:ascii="KaiTi" w:hAnsi="KaiTi" w:eastAsia="KaiTi" w:cs="KaiTi"/>
          <w:sz w:val="22"/>
          <w:szCs w:val="22"/>
        </w:rPr>
        <w:t>（用户基本信息）</w:t>
      </w:r>
    </w:p>
    <w:p>
      <w:pPr>
        <w:spacing w:line="157" w:lineRule="exact"/>
        <w:rPr/>
      </w:pPr>
      <w:r/>
    </w:p>
    <w:tbl>
      <w:tblPr>
        <w:tblStyle w:val="TableNormal"/>
        <w:tblW w:w="9531" w:type="dxa"/>
        <w:tblInd w:w="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79"/>
        <w:gridCol w:w="65"/>
        <w:gridCol w:w="1941"/>
        <w:gridCol w:w="2224"/>
        <w:gridCol w:w="3022"/>
      </w:tblGrid>
      <w:tr>
        <w:trPr>
          <w:trHeight w:val="469" w:hRule="atLeast"/>
        </w:trPr>
        <w:tc>
          <w:tcPr>
            <w:tcW w:w="2344" w:type="dxa"/>
            <w:vAlign w:val="top"/>
            <w:gridSpan w:val="2"/>
            <w:tcBorders>
              <w:left w:val="single" w:color="000000" w:sz="6" w:space="0"/>
              <w:top w:val="single" w:color="000000" w:sz="6" w:space="0"/>
            </w:tcBorders>
          </w:tcPr>
          <w:p>
            <w:pPr>
              <w:pStyle w:val="TableText"/>
              <w:ind w:left="118"/>
              <w:spacing w:before="39" w:line="217" w:lineRule="auto"/>
              <w:rPr/>
            </w:pPr>
            <w:r>
              <w:rPr>
                <w:spacing w:val="-3"/>
              </w:rPr>
              <w:t>用户名称</w:t>
            </w:r>
          </w:p>
        </w:tc>
        <w:tc>
          <w:tcPr>
            <w:tcW w:w="7187" w:type="dxa"/>
            <w:vAlign w:val="top"/>
            <w:gridSpan w:val="3"/>
            <w:tcBorders>
              <w:right w:val="single" w:color="000000" w:sz="6" w:space="0"/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5" w:hRule="atLeast"/>
        </w:trPr>
        <w:tc>
          <w:tcPr>
            <w:tcW w:w="2344" w:type="dxa"/>
            <w:vAlign w:val="top"/>
            <w:gridSpan w:val="2"/>
            <w:tcBorders>
              <w:left w:val="single" w:color="000000" w:sz="6" w:space="0"/>
            </w:tcBorders>
          </w:tcPr>
          <w:p>
            <w:pPr>
              <w:pStyle w:val="TableText"/>
              <w:ind w:left="123"/>
              <w:spacing w:before="34" w:line="217" w:lineRule="auto"/>
              <w:rPr/>
            </w:pPr>
            <w:r>
              <w:rPr>
                <w:spacing w:val="-3"/>
              </w:rPr>
              <w:t>统一社会信用代码</w:t>
            </w:r>
          </w:p>
        </w:tc>
        <w:tc>
          <w:tcPr>
            <w:tcW w:w="1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24" w:type="dxa"/>
            <w:vAlign w:val="top"/>
          </w:tcPr>
          <w:p>
            <w:pPr>
              <w:pStyle w:val="TableText"/>
              <w:ind w:left="127"/>
              <w:spacing w:before="34" w:line="219" w:lineRule="auto"/>
              <w:rPr/>
            </w:pPr>
            <w:r>
              <w:rPr>
                <w:spacing w:val="-5"/>
              </w:rPr>
              <w:t>注册日期</w:t>
            </w:r>
          </w:p>
        </w:tc>
        <w:tc>
          <w:tcPr>
            <w:tcW w:w="3022" w:type="dxa"/>
            <w:vAlign w:val="top"/>
            <w:tcBorders>
              <w:right w:val="single" w:color="000000" w:sz="6" w:space="0"/>
            </w:tcBorders>
          </w:tcPr>
          <w:p>
            <w:pPr>
              <w:pStyle w:val="TableText"/>
              <w:ind w:left="609"/>
              <w:spacing w:before="34" w:line="218" w:lineRule="auto"/>
              <w:rPr/>
            </w:pPr>
            <w:r>
              <w:rPr>
                <w:spacing w:val="-16"/>
              </w:rPr>
              <w:t>年</w:t>
            </w:r>
            <w:r>
              <w:rPr>
                <w:spacing w:val="13"/>
              </w:rPr>
              <w:t xml:space="preserve">  </w:t>
            </w:r>
            <w:r>
              <w:rPr>
                <w:spacing w:val="-16"/>
              </w:rPr>
              <w:t>月</w:t>
            </w:r>
            <w:r>
              <w:rPr>
                <w:spacing w:val="33"/>
              </w:rPr>
              <w:t xml:space="preserve">  </w:t>
            </w:r>
            <w:r>
              <w:rPr>
                <w:spacing w:val="-16"/>
              </w:rPr>
              <w:t>日</w:t>
            </w:r>
          </w:p>
        </w:tc>
      </w:tr>
      <w:tr>
        <w:trPr>
          <w:trHeight w:val="926" w:hRule="atLeast"/>
        </w:trPr>
        <w:tc>
          <w:tcPr>
            <w:tcW w:w="9531" w:type="dxa"/>
            <w:vAlign w:val="top"/>
            <w:gridSpan w:val="5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pStyle w:val="TableText"/>
              <w:ind w:left="119"/>
              <w:spacing w:before="35" w:line="227" w:lineRule="auto"/>
              <w:rPr/>
            </w:pPr>
            <w:r>
              <w:rPr>
                <w:spacing w:val="-16"/>
              </w:rPr>
              <w:t>地址：</w:t>
            </w:r>
          </w:p>
          <w:p>
            <w:pPr>
              <w:pStyle w:val="TableText"/>
              <w:ind w:left="136"/>
              <w:spacing w:before="166" w:line="217" w:lineRule="auto"/>
              <w:rPr/>
            </w:pPr>
            <w:r>
              <w:rPr>
                <w:spacing w:val="-20"/>
              </w:rPr>
              <w:t>邮编：</w:t>
            </w:r>
          </w:p>
        </w:tc>
      </w:tr>
      <w:tr>
        <w:trPr>
          <w:trHeight w:val="493" w:hRule="atLeast"/>
        </w:trPr>
        <w:tc>
          <w:tcPr>
            <w:tcW w:w="2344" w:type="dxa"/>
            <w:vAlign w:val="top"/>
            <w:gridSpan w:val="2"/>
            <w:tcBorders>
              <w:left w:val="single" w:color="000000" w:sz="6" w:space="0"/>
            </w:tcBorders>
          </w:tcPr>
          <w:p>
            <w:pPr>
              <w:pStyle w:val="TableText"/>
              <w:ind w:left="125"/>
              <w:spacing w:before="50" w:line="218" w:lineRule="auto"/>
              <w:rPr/>
            </w:pPr>
            <w:r>
              <w:rPr>
                <w:spacing w:val="-5"/>
              </w:rPr>
              <w:t>注册资本（万元）</w:t>
            </w:r>
          </w:p>
        </w:tc>
        <w:tc>
          <w:tcPr>
            <w:tcW w:w="7187" w:type="dxa"/>
            <w:vAlign w:val="top"/>
            <w:gridSpan w:val="3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94" w:hRule="atLeast"/>
        </w:trPr>
        <w:tc>
          <w:tcPr>
            <w:tcW w:w="2344" w:type="dxa"/>
            <w:vAlign w:val="top"/>
            <w:gridSpan w:val="2"/>
            <w:tcBorders>
              <w:left w:val="single" w:color="000000" w:sz="6" w:space="0"/>
            </w:tcBorders>
          </w:tcPr>
          <w:p>
            <w:pPr>
              <w:pStyle w:val="TableText"/>
              <w:ind w:left="118"/>
              <w:spacing w:before="50" w:line="219" w:lineRule="auto"/>
              <w:rPr/>
            </w:pPr>
            <w:r>
              <w:rPr>
                <w:spacing w:val="-3"/>
              </w:rPr>
              <w:t>经营范围</w:t>
            </w:r>
          </w:p>
        </w:tc>
        <w:tc>
          <w:tcPr>
            <w:tcW w:w="7187" w:type="dxa"/>
            <w:vAlign w:val="top"/>
            <w:gridSpan w:val="3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96" w:hRule="atLeast"/>
        </w:trPr>
        <w:tc>
          <w:tcPr>
            <w:tcW w:w="2344" w:type="dxa"/>
            <w:vAlign w:val="top"/>
            <w:gridSpan w:val="2"/>
            <w:tcBorders>
              <w:left w:val="single" w:color="000000" w:sz="6" w:space="0"/>
            </w:tcBorders>
          </w:tcPr>
          <w:p>
            <w:pPr>
              <w:pStyle w:val="TableText"/>
              <w:ind w:left="126"/>
              <w:spacing w:before="53" w:line="219" w:lineRule="auto"/>
              <w:rPr/>
            </w:pPr>
            <w:r>
              <w:rPr>
                <w:spacing w:val="-4"/>
              </w:rPr>
              <w:t>法定代表人</w:t>
            </w:r>
          </w:p>
        </w:tc>
        <w:tc>
          <w:tcPr>
            <w:tcW w:w="7187" w:type="dxa"/>
            <w:vAlign w:val="top"/>
            <w:gridSpan w:val="3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98" w:hRule="atLeast"/>
        </w:trPr>
        <w:tc>
          <w:tcPr>
            <w:tcW w:w="2344" w:type="dxa"/>
            <w:vAlign w:val="top"/>
            <w:gridSpan w:val="2"/>
            <w:tcBorders>
              <w:left w:val="single" w:color="000000" w:sz="6" w:space="0"/>
            </w:tcBorders>
          </w:tcPr>
          <w:p>
            <w:pPr>
              <w:pStyle w:val="TableText"/>
              <w:ind w:left="131"/>
              <w:spacing w:before="54" w:line="219" w:lineRule="auto"/>
              <w:rPr/>
            </w:pPr>
            <w:r>
              <w:rPr>
                <w:spacing w:val="-5"/>
              </w:rPr>
              <w:t>资产总额（万元）</w:t>
            </w:r>
          </w:p>
        </w:tc>
        <w:tc>
          <w:tcPr>
            <w:tcW w:w="1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24" w:type="dxa"/>
            <w:vAlign w:val="top"/>
          </w:tcPr>
          <w:p>
            <w:pPr>
              <w:pStyle w:val="TableText"/>
              <w:ind w:left="127"/>
              <w:spacing w:before="53" w:line="217" w:lineRule="auto"/>
              <w:rPr/>
            </w:pPr>
            <w:r>
              <w:rPr>
                <w:spacing w:val="-6"/>
              </w:rPr>
              <w:t>负债（万元）</w:t>
            </w:r>
          </w:p>
        </w:tc>
        <w:tc>
          <w:tcPr>
            <w:tcW w:w="3022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01" w:hRule="atLeast"/>
        </w:trPr>
        <w:tc>
          <w:tcPr>
            <w:tcW w:w="2344" w:type="dxa"/>
            <w:vAlign w:val="top"/>
            <w:gridSpan w:val="2"/>
            <w:tcBorders>
              <w:left w:val="single" w:color="000000" w:sz="6" w:space="0"/>
            </w:tcBorders>
          </w:tcPr>
          <w:p>
            <w:pPr>
              <w:pStyle w:val="TableText"/>
              <w:ind w:left="132"/>
              <w:spacing w:before="57" w:line="219" w:lineRule="auto"/>
              <w:rPr/>
            </w:pPr>
            <w:r>
              <w:rPr>
                <w:spacing w:val="-7"/>
              </w:rPr>
              <w:t>收入（万元）</w:t>
            </w:r>
          </w:p>
        </w:tc>
        <w:tc>
          <w:tcPr>
            <w:tcW w:w="1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24" w:type="dxa"/>
            <w:vAlign w:val="top"/>
          </w:tcPr>
          <w:p>
            <w:pPr>
              <w:pStyle w:val="TableText"/>
              <w:ind w:left="122"/>
              <w:spacing w:before="57" w:line="218" w:lineRule="auto"/>
              <w:rPr/>
            </w:pPr>
            <w:r>
              <w:rPr>
                <w:spacing w:val="-5"/>
              </w:rPr>
              <w:t>净利润（万元）</w:t>
            </w:r>
          </w:p>
        </w:tc>
        <w:tc>
          <w:tcPr>
            <w:tcW w:w="3022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01" w:hRule="atLeast"/>
        </w:trPr>
        <w:tc>
          <w:tcPr>
            <w:tcW w:w="4285" w:type="dxa"/>
            <w:vAlign w:val="top"/>
            <w:gridSpan w:val="3"/>
            <w:tcBorders>
              <w:left w:val="single" w:color="000000" w:sz="6" w:space="0"/>
            </w:tcBorders>
          </w:tcPr>
          <w:p>
            <w:pPr>
              <w:pStyle w:val="TableText"/>
              <w:ind w:left="120"/>
              <w:spacing w:before="58" w:line="217" w:lineRule="auto"/>
              <w:rPr/>
            </w:pPr>
            <w:r>
              <w:rPr>
                <w:spacing w:val="-2"/>
              </w:rPr>
              <w:t>相关行政许可名称、发证机构与编号</w:t>
            </w:r>
          </w:p>
        </w:tc>
        <w:tc>
          <w:tcPr>
            <w:tcW w:w="5246" w:type="dxa"/>
            <w:vAlign w:val="top"/>
            <w:gridSpan w:val="2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64" w:hRule="atLeast"/>
        </w:trPr>
        <w:tc>
          <w:tcPr>
            <w:tcW w:w="4285" w:type="dxa"/>
            <w:vAlign w:val="top"/>
            <w:gridSpan w:val="3"/>
            <w:tcBorders>
              <w:left w:val="single" w:color="000000" w:sz="6" w:space="0"/>
            </w:tcBorders>
          </w:tcPr>
          <w:p>
            <w:pPr>
              <w:pStyle w:val="TableText"/>
              <w:ind w:left="123" w:right="283" w:hanging="2"/>
              <w:spacing w:before="39" w:line="233" w:lineRule="auto"/>
              <w:rPr/>
            </w:pPr>
            <w:r>
              <w:rPr>
                <w:spacing w:val="-13"/>
              </w:rPr>
              <w:t>安全生产相关资质名称、发证机构与编</w:t>
            </w:r>
            <w:r>
              <w:rPr/>
              <w:t>号</w:t>
            </w:r>
          </w:p>
        </w:tc>
        <w:tc>
          <w:tcPr>
            <w:tcW w:w="5246" w:type="dxa"/>
            <w:vAlign w:val="top"/>
            <w:gridSpan w:val="2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2" w:hRule="atLeast"/>
        </w:trPr>
        <w:tc>
          <w:tcPr>
            <w:tcW w:w="4285" w:type="dxa"/>
            <w:vAlign w:val="top"/>
            <w:gridSpan w:val="3"/>
            <w:tcBorders>
              <w:left w:val="single" w:color="000000" w:sz="6" w:space="0"/>
            </w:tcBorders>
          </w:tcPr>
          <w:p>
            <w:pPr>
              <w:pStyle w:val="TableText"/>
              <w:ind w:left="131"/>
              <w:spacing w:before="74" w:line="217" w:lineRule="auto"/>
              <w:rPr/>
            </w:pPr>
            <w:r>
              <w:rPr>
                <w:spacing w:val="-5"/>
              </w:rPr>
              <w:t>资源产地及品种</w:t>
            </w:r>
          </w:p>
        </w:tc>
        <w:tc>
          <w:tcPr>
            <w:tcW w:w="5246" w:type="dxa"/>
            <w:vAlign w:val="top"/>
            <w:gridSpan w:val="2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64" w:hRule="atLeast"/>
        </w:trPr>
        <w:tc>
          <w:tcPr>
            <w:tcW w:w="4285" w:type="dxa"/>
            <w:vAlign w:val="top"/>
            <w:gridSpan w:val="3"/>
            <w:tcBorders>
              <w:left w:val="single" w:color="000000" w:sz="6" w:space="0"/>
            </w:tcBorders>
          </w:tcPr>
          <w:p>
            <w:pPr>
              <w:pStyle w:val="TableText"/>
              <w:ind w:left="118" w:right="331" w:firstLine="12"/>
              <w:spacing w:before="43" w:line="232" w:lineRule="auto"/>
              <w:rPr/>
            </w:pPr>
            <w:r>
              <w:rPr>
                <w:spacing w:val="-2"/>
              </w:rPr>
              <w:t>资源用途（涉及销售的需注明主要用</w:t>
            </w:r>
            <w:r>
              <w:rPr>
                <w:spacing w:val="-8"/>
              </w:rPr>
              <w:t>户）</w:t>
            </w:r>
          </w:p>
        </w:tc>
        <w:tc>
          <w:tcPr>
            <w:tcW w:w="5246" w:type="dxa"/>
            <w:vAlign w:val="top"/>
            <w:gridSpan w:val="2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2" w:hRule="atLeast"/>
        </w:trPr>
        <w:tc>
          <w:tcPr>
            <w:tcW w:w="4285" w:type="dxa"/>
            <w:vAlign w:val="top"/>
            <w:gridSpan w:val="3"/>
            <w:tcBorders>
              <w:left w:val="single" w:color="000000" w:sz="6" w:space="0"/>
            </w:tcBorders>
          </w:tcPr>
          <w:p>
            <w:pPr>
              <w:pStyle w:val="TableText"/>
              <w:ind w:left="118"/>
              <w:spacing w:before="43" w:line="218" w:lineRule="auto"/>
              <w:rPr/>
            </w:pPr>
            <w:r>
              <w:rPr>
                <w:spacing w:val="-3"/>
              </w:rPr>
              <w:t>拟上载点</w:t>
            </w:r>
          </w:p>
        </w:tc>
        <w:tc>
          <w:tcPr>
            <w:tcW w:w="5246" w:type="dxa"/>
            <w:vAlign w:val="top"/>
            <w:gridSpan w:val="2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5" w:hRule="atLeast"/>
        </w:trPr>
        <w:tc>
          <w:tcPr>
            <w:tcW w:w="4285" w:type="dxa"/>
            <w:vAlign w:val="top"/>
            <w:gridSpan w:val="3"/>
            <w:tcBorders>
              <w:left w:val="single" w:color="000000" w:sz="6" w:space="0"/>
            </w:tcBorders>
          </w:tcPr>
          <w:p>
            <w:pPr>
              <w:pStyle w:val="TableText"/>
              <w:ind w:left="118"/>
              <w:spacing w:before="46" w:line="218" w:lineRule="auto"/>
              <w:rPr/>
            </w:pPr>
            <w:r>
              <w:rPr>
                <w:spacing w:val="-3"/>
              </w:rPr>
              <w:t>拟下载点</w:t>
            </w:r>
          </w:p>
        </w:tc>
        <w:tc>
          <w:tcPr>
            <w:tcW w:w="5246" w:type="dxa"/>
            <w:vAlign w:val="top"/>
            <w:gridSpan w:val="2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7" w:hRule="atLeast"/>
        </w:trPr>
        <w:tc>
          <w:tcPr>
            <w:tcW w:w="2344" w:type="dxa"/>
            <w:vAlign w:val="top"/>
            <w:gridSpan w:val="2"/>
            <w:tcBorders>
              <w:left w:val="single" w:color="000000" w:sz="6" w:space="0"/>
            </w:tcBorders>
          </w:tcPr>
          <w:p>
            <w:pPr>
              <w:pStyle w:val="TableText"/>
              <w:ind w:left="116"/>
              <w:spacing w:before="47" w:line="220" w:lineRule="auto"/>
              <w:rPr/>
            </w:pPr>
            <w:r>
              <w:rPr>
                <w:spacing w:val="-3"/>
              </w:rPr>
              <w:t>联系人</w:t>
            </w:r>
          </w:p>
        </w:tc>
        <w:tc>
          <w:tcPr>
            <w:tcW w:w="1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24" w:type="dxa"/>
            <w:vAlign w:val="top"/>
          </w:tcPr>
          <w:p>
            <w:pPr>
              <w:pStyle w:val="TableText"/>
              <w:ind w:left="147"/>
              <w:spacing w:before="47" w:line="219" w:lineRule="auto"/>
              <w:rPr/>
            </w:pPr>
            <w:r>
              <w:rPr>
                <w:spacing w:val="-11"/>
              </w:rPr>
              <w:t>电话</w:t>
            </w:r>
          </w:p>
        </w:tc>
        <w:tc>
          <w:tcPr>
            <w:tcW w:w="3022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0" w:hRule="atLeast"/>
        </w:trPr>
        <w:tc>
          <w:tcPr>
            <w:tcW w:w="2344" w:type="dxa"/>
            <w:vAlign w:val="top"/>
            <w:gridSpan w:val="2"/>
            <w:tcBorders>
              <w:left w:val="single" w:color="000000" w:sz="6" w:space="0"/>
            </w:tcBorders>
          </w:tcPr>
          <w:p>
            <w:pPr>
              <w:pStyle w:val="TableText"/>
              <w:ind w:left="121"/>
              <w:spacing w:before="74" w:line="219" w:lineRule="auto"/>
              <w:rPr/>
            </w:pPr>
            <w:r>
              <w:rPr>
                <w:spacing w:val="-5"/>
              </w:rPr>
              <w:t>传真</w:t>
            </w:r>
          </w:p>
        </w:tc>
        <w:tc>
          <w:tcPr>
            <w:tcW w:w="1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24" w:type="dxa"/>
            <w:vAlign w:val="top"/>
          </w:tcPr>
          <w:p>
            <w:pPr>
              <w:pStyle w:val="TableText"/>
              <w:ind w:left="147"/>
              <w:spacing w:before="74" w:line="217" w:lineRule="auto"/>
              <w:rPr/>
            </w:pPr>
            <w:r>
              <w:rPr>
                <w:spacing w:val="-8"/>
              </w:rPr>
              <w:t>电子邮箱</w:t>
            </w:r>
          </w:p>
        </w:tc>
        <w:tc>
          <w:tcPr>
            <w:tcW w:w="3022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56" w:hRule="atLeast"/>
        </w:trPr>
        <w:tc>
          <w:tcPr>
            <w:tcW w:w="9531" w:type="dxa"/>
            <w:vAlign w:val="top"/>
            <w:gridSpan w:val="5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pStyle w:val="TableText"/>
              <w:ind w:left="126"/>
              <w:spacing w:before="46" w:line="219" w:lineRule="auto"/>
              <w:rPr/>
            </w:pPr>
            <w:r>
              <w:rPr>
                <w:spacing w:val="-18"/>
              </w:rPr>
              <w:t>法定代表人（签字</w:t>
            </w:r>
            <w:r>
              <w:rPr>
                <w:spacing w:val="-9"/>
              </w:rPr>
              <w:t>）：</w:t>
            </w:r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19"/>
              <w:spacing w:before="78" w:line="218" w:lineRule="auto"/>
              <w:rPr/>
            </w:pPr>
            <w:r>
              <w:rPr>
                <w:spacing w:val="-5"/>
              </w:rPr>
              <w:t>（加盖公章）</w:t>
            </w:r>
          </w:p>
          <w:p>
            <w:pPr>
              <w:pStyle w:val="TableText"/>
              <w:ind w:left="6484"/>
              <w:spacing w:before="275" w:line="218" w:lineRule="auto"/>
              <w:rPr/>
            </w:pPr>
            <w:r>
              <w:rPr>
                <w:spacing w:val="-16"/>
              </w:rPr>
              <w:t>年</w:t>
            </w:r>
            <w:r>
              <w:rPr>
                <w:spacing w:val="13"/>
              </w:rPr>
              <w:t xml:space="preserve">  </w:t>
            </w:r>
            <w:r>
              <w:rPr>
                <w:spacing w:val="-16"/>
              </w:rPr>
              <w:t>月</w:t>
            </w:r>
            <w:r>
              <w:rPr>
                <w:spacing w:val="33"/>
              </w:rPr>
              <w:t xml:space="preserve">  </w:t>
            </w:r>
            <w:r>
              <w:rPr>
                <w:spacing w:val="-16"/>
              </w:rPr>
              <w:t>日</w:t>
            </w:r>
          </w:p>
        </w:tc>
      </w:tr>
      <w:tr>
        <w:trPr>
          <w:trHeight w:val="686" w:hRule="atLeast"/>
        </w:trPr>
        <w:tc>
          <w:tcPr>
            <w:tcW w:w="2279" w:type="dxa"/>
            <w:vAlign w:val="top"/>
            <w:tcBorders>
              <w:left w:val="single" w:color="000000" w:sz="6" w:space="0"/>
              <w:bottom w:val="single" w:color="000000" w:sz="6" w:space="0"/>
            </w:tcBorders>
          </w:tcPr>
          <w:p>
            <w:pPr>
              <w:pStyle w:val="TableText"/>
              <w:ind w:left="907"/>
              <w:spacing w:before="152" w:line="220" w:lineRule="auto"/>
              <w:rPr/>
            </w:pPr>
            <w:r>
              <w:rPr>
                <w:spacing w:val="-5"/>
              </w:rPr>
              <w:t>备注</w:t>
            </w:r>
          </w:p>
        </w:tc>
        <w:tc>
          <w:tcPr>
            <w:tcW w:w="7252" w:type="dxa"/>
            <w:vAlign w:val="top"/>
            <w:gridSpan w:val="4"/>
            <w:tcBorders>
              <w:bottom w:val="single" w:color="000000" w:sz="6" w:space="0"/>
              <w:right w:val="single" w:color="000000" w:sz="6" w:space="0"/>
            </w:tcBorders>
          </w:tcPr>
          <w:p>
            <w:pPr>
              <w:pStyle w:val="TableText"/>
              <w:ind w:left="3601"/>
              <w:spacing w:before="152" w:line="221" w:lineRule="auto"/>
              <w:rPr/>
            </w:pPr>
            <w:r>
              <w:rPr/>
              <w:t>无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431" w:right="1178" w:bottom="0" w:left="118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32"/>
        <w:spacing w:before="292" w:line="232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spacing w:val="-3"/>
        </w:rPr>
        <w:t>注：</w:t>
      </w:r>
      <w:r>
        <w:rPr>
          <w:rFonts w:ascii="Times New Roman" w:hAnsi="Times New Roman" w:eastAsia="Times New Roman" w:cs="Times New Roman"/>
          <w:sz w:val="24"/>
          <w:szCs w:val="24"/>
          <w:spacing w:val="-3"/>
        </w:rPr>
        <w:t>1</w:t>
      </w:r>
      <w:r>
        <w:rPr>
          <w:rFonts w:ascii="KaiTi" w:hAnsi="KaiTi" w:eastAsia="KaiTi" w:cs="KaiTi"/>
          <w:sz w:val="24"/>
          <w:szCs w:val="24"/>
          <w:spacing w:val="-3"/>
        </w:rPr>
        <w:t>．用户名称：填写企业营业执照上的注册名称。</w:t>
      </w:r>
    </w:p>
    <w:p>
      <w:pPr>
        <w:ind w:left="499"/>
        <w:spacing w:before="34" w:line="232" w:lineRule="auto"/>
        <w:rPr>
          <w:rFonts w:ascii="KaiTi" w:hAnsi="KaiTi" w:eastAsia="KaiTi" w:cs="KaiTi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spacing w:val="-3"/>
        </w:rPr>
        <w:t>2</w:t>
      </w:r>
      <w:r>
        <w:rPr>
          <w:rFonts w:ascii="KaiTi" w:hAnsi="KaiTi" w:eastAsia="KaiTi" w:cs="KaiTi"/>
          <w:sz w:val="24"/>
          <w:szCs w:val="24"/>
          <w:spacing w:val="-3"/>
        </w:rPr>
        <w:t>．统一社会信用代码：按照企业营业执照填写。</w:t>
      </w:r>
    </w:p>
    <w:p>
      <w:pPr>
        <w:ind w:left="26" w:right="84" w:firstLine="477"/>
        <w:spacing w:before="223" w:line="269" w:lineRule="auto"/>
        <w:rPr>
          <w:rFonts w:ascii="KaiTi" w:hAnsi="KaiTi" w:eastAsia="KaiTi" w:cs="KaiTi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spacing w:val="-2"/>
        </w:rPr>
        <w:t>3</w:t>
      </w:r>
      <w:r>
        <w:rPr>
          <w:rFonts w:ascii="KaiTi" w:hAnsi="KaiTi" w:eastAsia="KaiTi" w:cs="KaiTi"/>
          <w:sz w:val="24"/>
          <w:szCs w:val="24"/>
          <w:spacing w:val="-2"/>
        </w:rPr>
        <w:t>．行政许可名称、发证机构与编号：填写行政许可证的名称、发证机构、</w:t>
      </w:r>
      <w:r>
        <w:rPr>
          <w:rFonts w:ascii="KaiTi" w:hAnsi="KaiTi" w:eastAsia="KaiTi" w:cs="KaiTi"/>
          <w:sz w:val="24"/>
          <w:szCs w:val="24"/>
          <w:spacing w:val="-14"/>
        </w:rPr>
        <w:t>编号。</w:t>
      </w:r>
    </w:p>
    <w:p>
      <w:pPr>
        <w:ind w:left="29" w:right="40" w:firstLine="468"/>
        <w:spacing w:before="183" w:line="270" w:lineRule="auto"/>
        <w:rPr>
          <w:rFonts w:ascii="KaiTi" w:hAnsi="KaiTi" w:eastAsia="KaiTi" w:cs="KaiTi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</w:t>
      </w:r>
      <w:r>
        <w:rPr>
          <w:rFonts w:ascii="KaiTi" w:hAnsi="KaiTi" w:eastAsia="KaiTi" w:cs="KaiTi"/>
          <w:sz w:val="24"/>
          <w:szCs w:val="24"/>
        </w:rPr>
        <w:t>．安全生产相关资质：填写安全生产相关资质证书的名称、发</w:t>
      </w:r>
      <w:r>
        <w:rPr>
          <w:rFonts w:ascii="KaiTi" w:hAnsi="KaiTi" w:eastAsia="KaiTi" w:cs="KaiTi"/>
          <w:sz w:val="24"/>
          <w:szCs w:val="24"/>
          <w:spacing w:val="-1"/>
        </w:rPr>
        <w:t>证机构、编</w:t>
      </w:r>
      <w:r>
        <w:rPr>
          <w:rFonts w:ascii="KaiTi" w:hAnsi="KaiTi" w:eastAsia="KaiTi" w:cs="KaiTi"/>
          <w:sz w:val="24"/>
          <w:szCs w:val="24"/>
          <w:spacing w:val="-16"/>
        </w:rPr>
        <w:t>号。</w:t>
      </w:r>
    </w:p>
    <w:p>
      <w:pPr>
        <w:ind w:left="505"/>
        <w:spacing w:before="177" w:line="226" w:lineRule="auto"/>
        <w:rPr>
          <w:rFonts w:ascii="KaiTi" w:hAnsi="KaiTi" w:eastAsia="KaiTi" w:cs="KaiTi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spacing w:val="-2"/>
        </w:rPr>
        <w:t>5</w:t>
      </w:r>
      <w:r>
        <w:rPr>
          <w:rFonts w:ascii="KaiTi" w:hAnsi="KaiTi" w:eastAsia="KaiTi" w:cs="KaiTi"/>
          <w:sz w:val="24"/>
          <w:szCs w:val="24"/>
          <w:spacing w:val="-2"/>
        </w:rPr>
        <w:t>．地址、法定代表人、注册资本等，按照企业营业执</w:t>
      </w:r>
      <w:r>
        <w:rPr>
          <w:rFonts w:ascii="KaiTi" w:hAnsi="KaiTi" w:eastAsia="KaiTi" w:cs="KaiTi"/>
          <w:sz w:val="24"/>
          <w:szCs w:val="24"/>
          <w:spacing w:val="-3"/>
        </w:rPr>
        <w:t>照填写。</w:t>
      </w:r>
    </w:p>
    <w:p>
      <w:pPr>
        <w:ind w:left="19" w:right="83" w:firstLine="485"/>
        <w:spacing w:before="230" w:line="269" w:lineRule="auto"/>
        <w:rPr>
          <w:rFonts w:ascii="KaiTi" w:hAnsi="KaiTi" w:eastAsia="KaiTi" w:cs="KaiTi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spacing w:val="-2"/>
        </w:rPr>
        <w:t>6</w:t>
      </w:r>
      <w:r>
        <w:rPr>
          <w:rFonts w:ascii="KaiTi" w:hAnsi="KaiTi" w:eastAsia="KaiTi" w:cs="KaiTi"/>
          <w:sz w:val="24"/>
          <w:szCs w:val="24"/>
          <w:spacing w:val="-2"/>
        </w:rPr>
        <w:t>．联系人、电话、传真、电子邮箱：填写企业负责具体业务的人员姓名、</w:t>
      </w:r>
      <w:r>
        <w:rPr>
          <w:rFonts w:ascii="KaiTi" w:hAnsi="KaiTi" w:eastAsia="KaiTi" w:cs="KaiTi"/>
          <w:sz w:val="24"/>
          <w:szCs w:val="24"/>
          <w:spacing w:val="-2"/>
        </w:rPr>
        <w:t>联系电话（包括固定电话、移动电话以及公司对外联系电话等）及电子邮箱。</w:t>
      </w:r>
    </w:p>
    <w:p>
      <w:pPr>
        <w:ind w:left="503"/>
        <w:spacing w:before="181" w:line="229" w:lineRule="auto"/>
        <w:rPr>
          <w:rFonts w:ascii="KaiTi" w:hAnsi="KaiTi" w:eastAsia="KaiTi" w:cs="KaiTi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spacing w:val="-2"/>
        </w:rPr>
        <w:t>7.</w:t>
      </w:r>
      <w:r>
        <w:rPr>
          <w:rFonts w:ascii="KaiTi" w:hAnsi="KaiTi" w:eastAsia="KaiTi" w:cs="KaiTi"/>
          <w:sz w:val="24"/>
          <w:szCs w:val="24"/>
          <w:spacing w:val="-2"/>
        </w:rPr>
        <w:t>资产总额、负债、收入、净利润：按照上月财务会计报表数据填写。</w:t>
      </w:r>
    </w:p>
    <w:p>
      <w:pPr>
        <w:ind w:left="509"/>
        <w:spacing w:before="226" w:line="226" w:lineRule="auto"/>
        <w:rPr>
          <w:rFonts w:ascii="KaiTi" w:hAnsi="KaiTi" w:eastAsia="KaiTi" w:cs="KaiTi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>8.</w:t>
      </w:r>
      <w:r>
        <w:rPr>
          <w:rFonts w:ascii="KaiTi" w:hAnsi="KaiTi" w:eastAsia="KaiTi" w:cs="KaiTi"/>
          <w:sz w:val="24"/>
          <w:szCs w:val="24"/>
          <w:spacing w:val="-1"/>
        </w:rPr>
        <w:t>表中不能留有空项，空白项填写</w:t>
      </w: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>“</w:t>
      </w:r>
      <w:r>
        <w:rPr>
          <w:rFonts w:ascii="KaiTi" w:hAnsi="KaiTi" w:eastAsia="KaiTi" w:cs="KaiTi"/>
          <w:sz w:val="24"/>
          <w:szCs w:val="24"/>
          <w:spacing w:val="-1"/>
        </w:rPr>
        <w:t>无</w:t>
      </w: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>”</w:t>
      </w:r>
      <w:r>
        <w:rPr>
          <w:rFonts w:ascii="KaiTi" w:hAnsi="KaiTi" w:eastAsia="KaiTi" w:cs="KaiTi"/>
          <w:sz w:val="24"/>
          <w:szCs w:val="24"/>
          <w:spacing w:val="-1"/>
        </w:rPr>
        <w:t>。</w:t>
      </w:r>
    </w:p>
    <w:sectPr>
      <w:pgSz w:w="11907" w:h="16839"/>
      <w:pgMar w:top="1431" w:right="1785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2016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dcterms:created xsi:type="dcterms:W3CDTF">2026-09-29T10:50:50Z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2026-09-30T12:06:31</vt:filetime>
  </property>
</Properties>
</file>