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985"/>
        <w:spacing w:before="234" w:line="446" w:lineRule="exact"/>
        <w:rPr>
          <w:rFonts w:ascii="Microsoft YaHei" w:hAnsi="Microsoft YaHei" w:eastAsia="Microsoft YaHei" w:cs="Microsoft YaHei"/>
          <w:sz w:val="44"/>
          <w:szCs w:val="44"/>
        </w:rPr>
      </w:pPr>
      <w:r>
        <w:rPr>
          <w:rFonts w:ascii="Microsoft YaHei" w:hAnsi="Microsoft YaHei" w:eastAsia="Microsoft YaHei" w:cs="Microsoft YaHei"/>
          <w:sz w:val="44"/>
          <w:szCs w:val="44"/>
          <w:spacing w:val="-4"/>
          <w:position w:val="-2"/>
        </w:rPr>
        <w:t>咸阳市天然气有限公司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ind w:left="1087"/>
        <w:spacing w:before="189" w:line="446" w:lineRule="exact"/>
        <w:outlineLvl w:val="0"/>
        <w:rPr>
          <w:rFonts w:ascii="Microsoft YaHei" w:hAnsi="Microsoft YaHei" w:eastAsia="Microsoft YaHei" w:cs="Microsoft YaHei"/>
          <w:sz w:val="44"/>
          <w:szCs w:val="44"/>
        </w:rPr>
      </w:pPr>
      <w:r>
        <w:rPr>
          <w:rFonts w:ascii="Microsoft YaHei" w:hAnsi="Microsoft YaHei" w:eastAsia="Microsoft YaHei" w:cs="Microsoft YaHei"/>
          <w:sz w:val="44"/>
          <w:szCs w:val="44"/>
          <w:position w:val="-2"/>
        </w:rPr>
        <w:t>天然气长输管道接入标准、条件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1" w:lineRule="auto"/>
        <w:rPr>
          <w:rFonts w:ascii="Arial"/>
          <w:sz w:val="21"/>
        </w:rPr>
      </w:pPr>
      <w:r/>
    </w:p>
    <w:p>
      <w:pPr>
        <w:pStyle w:val="BodyText"/>
        <w:ind w:left="36" w:right="14" w:firstLine="626"/>
        <w:spacing w:before="101" w:line="372" w:lineRule="auto"/>
        <w:jc w:val="both"/>
        <w:rPr>
          <w:sz w:val="31"/>
          <w:szCs w:val="31"/>
        </w:rPr>
      </w:pPr>
      <w:r>
        <w:rPr>
          <w:sz w:val="31"/>
          <w:szCs w:val="31"/>
          <w:spacing w:val="9"/>
        </w:rPr>
        <w:t>根据《油气设施公平开放监管办法》要求，我</w:t>
      </w:r>
      <w:r>
        <w:rPr>
          <w:sz w:val="31"/>
          <w:szCs w:val="31"/>
          <w:spacing w:val="8"/>
        </w:rPr>
        <w:t>公司建设</w:t>
      </w:r>
      <w:r>
        <w:rPr>
          <w:sz w:val="31"/>
          <w:szCs w:val="31"/>
          <w:spacing w:val="8"/>
        </w:rPr>
        <w:t>的“气化咸阳”长输管道目前已经具备公平开放条件，现将</w:t>
      </w:r>
      <w:r>
        <w:rPr>
          <w:sz w:val="31"/>
          <w:szCs w:val="31"/>
          <w:spacing w:val="1"/>
        </w:rPr>
        <w:t>具体事宜公布如下：</w:t>
      </w:r>
    </w:p>
    <w:p>
      <w:pPr>
        <w:ind w:left="672"/>
        <w:spacing w:line="225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一、接入标准</w:t>
      </w:r>
    </w:p>
    <w:p>
      <w:pPr>
        <w:pStyle w:val="BodyText"/>
        <w:ind w:left="576"/>
        <w:spacing w:before="264" w:line="219" w:lineRule="auto"/>
        <w:outlineLvl w:val="2"/>
        <w:rPr/>
      </w:pPr>
      <w:r>
        <w:rPr>
          <w:b/>
          <w:bCs/>
          <w:spacing w:val="-15"/>
        </w:rPr>
        <w:t>（</w:t>
      </w:r>
      <w:r>
        <w:rPr>
          <w:spacing w:val="-69"/>
        </w:rPr>
        <w:t xml:space="preserve"> </w:t>
      </w:r>
      <w:r>
        <w:rPr>
          <w:b/>
          <w:bCs/>
          <w:spacing w:val="-15"/>
        </w:rPr>
        <w:t>1）质量标准</w:t>
      </w:r>
    </w:p>
    <w:p>
      <w:pPr>
        <w:pStyle w:val="BodyText"/>
        <w:ind w:left="602"/>
        <w:spacing w:before="291" w:line="219" w:lineRule="auto"/>
        <w:rPr/>
      </w:pPr>
      <w:r>
        <w:rPr>
          <w:spacing w:val="-1"/>
        </w:rPr>
        <w:t>1.《输气管道工程设计规范》GB50251-2015；</w:t>
      </w:r>
    </w:p>
    <w:p>
      <w:pPr>
        <w:pStyle w:val="BodyText"/>
        <w:ind w:left="597"/>
        <w:spacing w:before="292" w:line="219" w:lineRule="auto"/>
        <w:rPr/>
      </w:pPr>
      <w:r>
        <w:rPr>
          <w:spacing w:val="-1"/>
        </w:rPr>
        <w:t>2.《油气长输管道工程施工及验收规范》GB50369-2014；</w:t>
      </w:r>
    </w:p>
    <w:p>
      <w:pPr>
        <w:pStyle w:val="BodyText"/>
        <w:ind w:left="608"/>
        <w:spacing w:before="292" w:line="219" w:lineRule="auto"/>
        <w:rPr/>
      </w:pPr>
      <w:r>
        <w:rPr>
          <w:spacing w:val="-1"/>
        </w:rPr>
        <w:t>3.《石油化工安全仪表系统设计规范》GB/T50770-201</w:t>
      </w:r>
      <w:r>
        <w:rPr>
          <w:spacing w:val="-2"/>
        </w:rPr>
        <w:t>3；</w:t>
      </w:r>
    </w:p>
    <w:p>
      <w:pPr>
        <w:pStyle w:val="BodyText"/>
        <w:ind w:left="596"/>
        <w:spacing w:before="292" w:line="218" w:lineRule="auto"/>
        <w:rPr/>
      </w:pPr>
      <w:r>
        <w:rPr>
          <w:spacing w:val="-1"/>
        </w:rPr>
        <w:t>4.《钢质管道外腐蚀控制规范》GB/T21447-2008；</w:t>
      </w:r>
    </w:p>
    <w:p>
      <w:pPr>
        <w:pStyle w:val="BodyText"/>
        <w:ind w:left="36" w:right="337" w:firstLine="564"/>
        <w:spacing w:before="295" w:line="411" w:lineRule="auto"/>
        <w:rPr/>
      </w:pPr>
      <w:r>
        <w:rPr>
          <w:spacing w:val="-1"/>
        </w:rPr>
        <w:t>5.《油气田及管道工程仪表控制系统设计规范》GB/T</w:t>
      </w:r>
      <w:r>
        <w:rPr>
          <w:spacing w:val="-1"/>
        </w:rPr>
        <w:t xml:space="preserve"> </w:t>
      </w:r>
      <w:r>
        <w:rPr>
          <w:spacing w:val="-1"/>
        </w:rPr>
        <w:t>50892-</w:t>
      </w:r>
      <w:r>
        <w:rPr>
          <w:spacing w:val="7"/>
        </w:rPr>
        <w:t xml:space="preserve"> </w:t>
      </w:r>
      <w:r>
        <w:rPr>
          <w:spacing w:val="-5"/>
        </w:rPr>
        <w:t>2013；</w:t>
      </w:r>
    </w:p>
    <w:p>
      <w:pPr>
        <w:pStyle w:val="BodyText"/>
        <w:ind w:left="48" w:right="1621" w:firstLine="551"/>
        <w:spacing w:before="2" w:line="411" w:lineRule="auto"/>
        <w:rPr/>
      </w:pPr>
      <w:r>
        <w:rPr>
          <w:spacing w:val="-2"/>
        </w:rPr>
        <w:t>6.《石油化工可燃气体和有毒气体检测报警</w:t>
      </w:r>
      <w:r>
        <w:rPr>
          <w:spacing w:val="-3"/>
        </w:rPr>
        <w:t>设计规</w:t>
      </w:r>
      <w:r>
        <w:rPr>
          <w:spacing w:val="-3"/>
        </w:rPr>
        <w:t>范》</w:t>
      </w:r>
      <w:r>
        <w:rPr>
          <w:spacing w:val="-66"/>
        </w:rPr>
        <w:t xml:space="preserve"> </w:t>
      </w:r>
      <w:r>
        <w:rPr>
          <w:spacing w:val="-3"/>
        </w:rPr>
        <w:t>GB50493-2009；</w:t>
      </w:r>
    </w:p>
    <w:p>
      <w:pPr>
        <w:pStyle w:val="BodyText"/>
        <w:ind w:left="600"/>
        <w:spacing w:line="217" w:lineRule="auto"/>
        <w:rPr/>
      </w:pPr>
      <w:r>
        <w:rPr>
          <w:spacing w:val="-1"/>
        </w:rPr>
        <w:t>7.《建筑物防雷设计规范》GB50057-2010；</w:t>
      </w:r>
    </w:p>
    <w:p>
      <w:pPr>
        <w:pStyle w:val="BodyText"/>
        <w:ind w:left="600"/>
        <w:spacing w:before="295" w:line="218" w:lineRule="auto"/>
        <w:rPr/>
      </w:pPr>
      <w:r>
        <w:rPr>
          <w:spacing w:val="-1"/>
        </w:rPr>
        <w:t>8.《通信线路工程设计规范》GB51158-2015；</w:t>
      </w:r>
    </w:p>
    <w:p>
      <w:pPr>
        <w:pStyle w:val="BodyText"/>
        <w:ind w:left="600"/>
        <w:spacing w:before="292" w:line="219" w:lineRule="auto"/>
        <w:rPr/>
      </w:pPr>
      <w:r>
        <w:rPr>
          <w:spacing w:val="-1"/>
        </w:rPr>
        <w:t>9.《爆炸危险环境电力装置设计规范》GB50058-2014；</w:t>
      </w:r>
    </w:p>
    <w:p>
      <w:pPr>
        <w:pStyle w:val="BodyText"/>
        <w:ind w:left="604"/>
        <w:spacing w:before="292" w:line="219" w:lineRule="auto"/>
        <w:rPr/>
      </w:pPr>
      <w:r>
        <w:rPr>
          <w:spacing w:val="-1"/>
        </w:rPr>
        <w:t>10.《油气输送管道线路工程抗震技术规范》GB/T50470-2017；</w:t>
      </w:r>
    </w:p>
    <w:p>
      <w:pPr>
        <w:pStyle w:val="BodyText"/>
        <w:ind w:left="604"/>
        <w:spacing w:before="293" w:line="219" w:lineRule="auto"/>
        <w:rPr/>
      </w:pPr>
      <w:r>
        <w:rPr>
          <w:spacing w:val="-1"/>
        </w:rPr>
        <w:t>11.《油气厂、站、库给水排水设计规范》SY/T008</w:t>
      </w:r>
      <w:r>
        <w:rPr>
          <w:spacing w:val="-2"/>
        </w:rPr>
        <w:t>9；</w:t>
      </w:r>
    </w:p>
    <w:p>
      <w:pPr>
        <w:spacing w:line="219" w:lineRule="auto"/>
        <w:sectPr>
          <w:pgSz w:w="11907" w:h="16839"/>
          <w:pgMar w:top="1431" w:right="1785" w:bottom="0" w:left="1785" w:header="0" w:footer="0" w:gutter="0"/>
        </w:sectPr>
        <w:rPr/>
      </w:pPr>
    </w:p>
    <w:p>
      <w:pPr>
        <w:pStyle w:val="BodyText"/>
        <w:ind w:left="604"/>
        <w:spacing w:before="180" w:line="219" w:lineRule="auto"/>
        <w:rPr/>
      </w:pPr>
      <w:r>
        <w:rPr>
          <w:spacing w:val="-1"/>
        </w:rPr>
        <w:t>12.《建筑灭火器配置设计规范》GB5014-2005；</w:t>
      </w:r>
    </w:p>
    <w:p>
      <w:pPr>
        <w:pStyle w:val="BodyText"/>
        <w:ind w:left="48" w:right="359" w:firstLine="556"/>
        <w:spacing w:before="293" w:line="411" w:lineRule="auto"/>
        <w:rPr/>
      </w:pPr>
      <w:r>
        <w:rPr>
          <w:spacing w:val="-2"/>
        </w:rPr>
        <w:t>13.《输油（气）管道同沟敷设光缆（硅芯管）设计及施工规</w:t>
      </w:r>
      <w:r>
        <w:rPr>
          <w:spacing w:val="-3"/>
        </w:rPr>
        <w:t>范》SY/T4108-2012</w:t>
      </w:r>
      <w:r>
        <w:rPr>
          <w:spacing w:val="-3"/>
        </w:rPr>
        <w:t xml:space="preserve"> </w:t>
      </w:r>
      <w:r>
        <w:rPr>
          <w:spacing w:val="-3"/>
        </w:rPr>
        <w:t>。</w:t>
      </w:r>
    </w:p>
    <w:p>
      <w:pPr>
        <w:pStyle w:val="BodyText"/>
        <w:ind w:left="602"/>
        <w:spacing w:line="218" w:lineRule="auto"/>
        <w:rPr/>
      </w:pPr>
      <w:r>
        <w:rPr>
          <w:spacing w:val="-1"/>
        </w:rPr>
        <w:t>14.《城镇燃气设计规范》GB50028-20</w:t>
      </w:r>
      <w:r>
        <w:rPr>
          <w:spacing w:val="-2"/>
        </w:rPr>
        <w:t>06</w:t>
      </w:r>
    </w:p>
    <w:p>
      <w:pPr>
        <w:pStyle w:val="BodyText"/>
        <w:ind w:left="576"/>
        <w:spacing w:before="291" w:line="219" w:lineRule="auto"/>
        <w:outlineLvl w:val="2"/>
        <w:rPr/>
      </w:pPr>
      <w:r>
        <w:rPr>
          <w:b/>
          <w:bCs/>
          <w:spacing w:val="-8"/>
        </w:rPr>
        <w:t>（</w:t>
      </w:r>
      <w:r>
        <w:rPr>
          <w:spacing w:val="-76"/>
        </w:rPr>
        <w:t xml:space="preserve"> </w:t>
      </w:r>
      <w:r>
        <w:rPr>
          <w:b/>
          <w:bCs/>
          <w:spacing w:val="-8"/>
        </w:rPr>
        <w:t>2）安全法规、标准</w:t>
      </w:r>
    </w:p>
    <w:p>
      <w:pPr>
        <w:pStyle w:val="BodyText"/>
        <w:ind w:left="602"/>
        <w:spacing w:before="293" w:line="218" w:lineRule="auto"/>
        <w:rPr/>
      </w:pPr>
      <w:r>
        <w:rPr>
          <w:spacing w:val="-1"/>
        </w:rPr>
        <w:t>1.《中华人民共和国安全生产法》;</w:t>
      </w:r>
    </w:p>
    <w:p>
      <w:pPr>
        <w:pStyle w:val="BodyText"/>
        <w:ind w:left="597"/>
        <w:spacing w:before="294" w:line="217" w:lineRule="auto"/>
        <w:rPr/>
      </w:pPr>
      <w:r>
        <w:rPr>
          <w:spacing w:val="-1"/>
        </w:rPr>
        <w:t>2.《中华人民共和国环境保护法》;</w:t>
      </w:r>
    </w:p>
    <w:p>
      <w:pPr>
        <w:pStyle w:val="BodyText"/>
        <w:ind w:left="608"/>
        <w:spacing w:before="295" w:line="217" w:lineRule="auto"/>
        <w:rPr/>
      </w:pPr>
      <w:r>
        <w:rPr>
          <w:spacing w:val="-1"/>
        </w:rPr>
        <w:t>3.《中华人民共和国水土保持法》;</w:t>
      </w:r>
    </w:p>
    <w:p>
      <w:pPr>
        <w:pStyle w:val="BodyText"/>
        <w:ind w:left="596"/>
        <w:spacing w:before="295" w:line="217" w:lineRule="auto"/>
        <w:rPr/>
      </w:pPr>
      <w:r>
        <w:rPr>
          <w:spacing w:val="-1"/>
        </w:rPr>
        <w:t>4.《中华人民共和国石油天然气管道保护法》;</w:t>
      </w:r>
    </w:p>
    <w:p>
      <w:pPr>
        <w:pStyle w:val="BodyText"/>
        <w:ind w:left="601"/>
        <w:spacing w:before="294" w:line="217" w:lineRule="auto"/>
        <w:rPr/>
      </w:pPr>
      <w:r>
        <w:rPr>
          <w:spacing w:val="-1"/>
        </w:rPr>
        <w:t>5.《中华人民共和国特种设备安全法》;</w:t>
      </w:r>
    </w:p>
    <w:p>
      <w:pPr>
        <w:pStyle w:val="BodyText"/>
        <w:ind w:left="600"/>
        <w:spacing w:before="295" w:line="217" w:lineRule="auto"/>
        <w:rPr/>
      </w:pPr>
      <w:r>
        <w:rPr>
          <w:spacing w:val="-1"/>
        </w:rPr>
        <w:t>6.《特种设备安全监察条例》;</w:t>
      </w:r>
    </w:p>
    <w:p>
      <w:pPr>
        <w:pStyle w:val="BodyText"/>
        <w:ind w:left="600"/>
        <w:spacing w:before="295" w:line="219" w:lineRule="auto"/>
        <w:rPr/>
      </w:pPr>
      <w:r>
        <w:rPr>
          <w:spacing w:val="-1"/>
        </w:rPr>
        <w:t>7.《石油天然气工程设计防火规范》GB50183-2004;</w:t>
      </w:r>
    </w:p>
    <w:p>
      <w:pPr>
        <w:pStyle w:val="BodyText"/>
        <w:ind w:left="600"/>
        <w:spacing w:before="292" w:line="219" w:lineRule="auto"/>
        <w:rPr/>
      </w:pPr>
      <w:r>
        <w:rPr>
          <w:spacing w:val="-1"/>
        </w:rPr>
        <w:t>8.《石油化工企业职业安全卫生设计规范》SH3047-93。</w:t>
      </w:r>
    </w:p>
    <w:p>
      <w:pPr>
        <w:pStyle w:val="BodyText"/>
        <w:ind w:left="576"/>
        <w:spacing w:before="291" w:line="219" w:lineRule="auto"/>
        <w:outlineLvl w:val="2"/>
        <w:rPr/>
      </w:pPr>
      <w:r>
        <w:rPr>
          <w:b/>
          <w:bCs/>
          <w:spacing w:val="-11"/>
        </w:rPr>
        <w:t>（</w:t>
      </w:r>
      <w:r>
        <w:rPr>
          <w:spacing w:val="-68"/>
        </w:rPr>
        <w:t xml:space="preserve"> </w:t>
      </w:r>
      <w:r>
        <w:rPr>
          <w:b/>
          <w:bCs/>
          <w:spacing w:val="-11"/>
        </w:rPr>
        <w:t>3）天然气标准</w:t>
      </w:r>
    </w:p>
    <w:p>
      <w:pPr>
        <w:pStyle w:val="BodyText"/>
        <w:ind w:left="602"/>
        <w:spacing w:before="293" w:line="219" w:lineRule="auto"/>
        <w:rPr/>
      </w:pPr>
      <w:r>
        <w:rPr>
          <w:spacing w:val="-5"/>
        </w:rPr>
        <w:t>1.接入质量</w:t>
      </w:r>
    </w:p>
    <w:p>
      <w:pPr>
        <w:pStyle w:val="BodyText"/>
        <w:ind w:left="31" w:right="30" w:firstLine="555"/>
        <w:spacing w:before="291" w:line="412" w:lineRule="auto"/>
        <w:rPr/>
      </w:pPr>
      <w:r>
        <w:rPr>
          <w:spacing w:val="-6"/>
        </w:rPr>
        <w:t>接入天然气的质量应符合</w:t>
      </w:r>
      <w:r>
        <w:rPr>
          <w:spacing w:val="-60"/>
        </w:rPr>
        <w:t xml:space="preserve"> </w:t>
      </w:r>
      <w:r>
        <w:rPr>
          <w:spacing w:val="-6"/>
        </w:rPr>
        <w:t>GB17820-2012《天然气》规定的二类标</w:t>
      </w:r>
      <w:r>
        <w:rPr>
          <w:spacing w:val="-19"/>
        </w:rPr>
        <w:t>准。</w:t>
      </w:r>
    </w:p>
    <w:p>
      <w:pPr>
        <w:pStyle w:val="BodyText"/>
        <w:ind w:left="597"/>
        <w:spacing w:before="1" w:line="218" w:lineRule="auto"/>
        <w:rPr/>
      </w:pPr>
      <w:r>
        <w:rPr>
          <w:spacing w:val="-4"/>
        </w:rPr>
        <w:t>2.计量标准</w:t>
      </w:r>
    </w:p>
    <w:p>
      <w:pPr>
        <w:pStyle w:val="BodyText"/>
        <w:ind w:left="593"/>
        <w:spacing w:before="292" w:line="217" w:lineRule="auto"/>
        <w:rPr/>
      </w:pPr>
      <w:r>
        <w:rPr>
          <w:spacing w:val="-1"/>
        </w:rPr>
        <w:t>计量系统符合《天然气计量系统技术要求》GB/T18603-2014。</w:t>
      </w:r>
    </w:p>
    <w:p>
      <w:pPr>
        <w:pStyle w:val="BodyText"/>
        <w:ind w:left="606"/>
        <w:spacing w:before="294" w:line="219" w:lineRule="auto"/>
        <w:rPr/>
      </w:pPr>
      <w:r>
        <w:rPr>
          <w:spacing w:val="-5"/>
        </w:rPr>
        <w:t>3.计量方式</w:t>
      </w:r>
    </w:p>
    <w:p>
      <w:pPr>
        <w:pStyle w:val="BodyText"/>
        <w:ind w:left="36" w:right="10" w:firstLine="617"/>
        <w:spacing w:before="294" w:line="412" w:lineRule="auto"/>
        <w:rPr/>
      </w:pPr>
      <w:r>
        <w:rPr>
          <w:spacing w:val="23"/>
        </w:rPr>
        <w:t>交接天然气按体积进行计量，</w:t>
      </w:r>
      <w:r>
        <w:rPr>
          <w:spacing w:val="-55"/>
        </w:rPr>
        <w:t xml:space="preserve"> </w:t>
      </w:r>
      <w:r>
        <w:rPr>
          <w:spacing w:val="23"/>
        </w:rPr>
        <w:t>天然气体积计算状态为温度</w:t>
      </w:r>
      <w:r>
        <w:rPr>
          <w:spacing w:val="-7"/>
        </w:rPr>
        <w:t>293.15K（20℃),</w:t>
      </w:r>
      <w:r>
        <w:rPr>
          <w:spacing w:val="77"/>
        </w:rPr>
        <w:t xml:space="preserve"> </w:t>
      </w:r>
      <w:r>
        <w:rPr>
          <w:spacing w:val="-7"/>
        </w:rPr>
        <w:t>绝对压力</w:t>
      </w:r>
      <w:r>
        <w:rPr>
          <w:spacing w:val="-43"/>
        </w:rPr>
        <w:t xml:space="preserve"> </w:t>
      </w:r>
      <w:r>
        <w:rPr>
          <w:spacing w:val="-7"/>
        </w:rPr>
        <w:t>101.325kPa（一个标准</w:t>
      </w:r>
      <w:r>
        <w:rPr>
          <w:spacing w:val="-8"/>
        </w:rPr>
        <w:t>大气压）。计量单</w:t>
      </w:r>
    </w:p>
    <w:p>
      <w:pPr>
        <w:spacing w:line="412" w:lineRule="auto"/>
        <w:sectPr>
          <w:pgSz w:w="11907" w:h="16839"/>
          <w:pgMar w:top="1431" w:right="1785" w:bottom="0" w:left="1785" w:header="0" w:footer="0" w:gutter="0"/>
        </w:sectPr>
        <w:rPr/>
      </w:pPr>
    </w:p>
    <w:p>
      <w:pPr>
        <w:pStyle w:val="BodyText"/>
        <w:ind w:left="37" w:right="85" w:hanging="17"/>
        <w:spacing w:before="162" w:line="413" w:lineRule="auto"/>
        <w:rPr/>
      </w:pPr>
      <w:r>
        <w:rPr>
          <w:spacing w:val="-5"/>
        </w:rPr>
        <w:t>位：标准立方米（Nm</w:t>
      </w:r>
      <w:r>
        <w:rPr>
          <w:sz w:val="13"/>
          <w:szCs w:val="13"/>
          <w:spacing w:val="-5"/>
          <w:position w:val="13"/>
        </w:rPr>
        <w:t>3</w:t>
      </w:r>
      <w:r>
        <w:rPr>
          <w:sz w:val="13"/>
          <w:szCs w:val="13"/>
          <w:spacing w:val="-25"/>
          <w:position w:val="13"/>
        </w:rPr>
        <w:t xml:space="preserve"> </w:t>
      </w:r>
      <w:r>
        <w:rPr>
          <w:spacing w:val="-75"/>
          <w:w w:val="96"/>
        </w:rPr>
        <w:t>），</w:t>
      </w:r>
      <w:r>
        <w:rPr>
          <w:spacing w:val="-5"/>
        </w:rPr>
        <w:t>按日进行交接，</w:t>
      </w:r>
      <w:r>
        <w:rPr>
          <w:spacing w:val="-77"/>
        </w:rPr>
        <w:t xml:space="preserve"> </w:t>
      </w:r>
      <w:r>
        <w:rPr>
          <w:spacing w:val="-5"/>
        </w:rPr>
        <w:t>日交接量为北</w:t>
      </w:r>
      <w:r>
        <w:rPr>
          <w:spacing w:val="-6"/>
        </w:rPr>
        <w:t>京时间前一</w:t>
      </w:r>
      <w:r>
        <w:rPr>
          <w:spacing w:val="-79"/>
        </w:rPr>
        <w:t xml:space="preserve"> </w:t>
      </w:r>
      <w:r>
        <w:rPr>
          <w:spacing w:val="-6"/>
        </w:rPr>
        <w:t>日</w:t>
      </w:r>
      <w:r>
        <w:rPr>
          <w:spacing w:val="-4"/>
        </w:rPr>
        <w:t>8:00</w:t>
      </w:r>
      <w:r>
        <w:rPr>
          <w:spacing w:val="-43"/>
        </w:rPr>
        <w:t xml:space="preserve"> </w:t>
      </w:r>
      <w:r>
        <w:rPr>
          <w:spacing w:val="-4"/>
        </w:rPr>
        <w:t>至当日</w:t>
      </w:r>
      <w:r>
        <w:rPr>
          <w:spacing w:val="-48"/>
        </w:rPr>
        <w:t xml:space="preserve"> </w:t>
      </w:r>
      <w:r>
        <w:rPr>
          <w:spacing w:val="-4"/>
        </w:rPr>
        <w:t>8:00</w:t>
      </w:r>
      <w:r>
        <w:rPr>
          <w:spacing w:val="-49"/>
        </w:rPr>
        <w:t xml:space="preserve"> </w:t>
      </w:r>
      <w:r>
        <w:rPr>
          <w:spacing w:val="-4"/>
        </w:rPr>
        <w:t>结束的二十四小时时间内交</w:t>
      </w:r>
      <w:r>
        <w:rPr>
          <w:spacing w:val="-5"/>
        </w:rPr>
        <w:t>接点的分输计量量。</w:t>
      </w:r>
    </w:p>
    <w:p>
      <w:pPr>
        <w:pStyle w:val="BodyText"/>
        <w:ind w:left="34" w:firstLine="553"/>
        <w:spacing w:before="14" w:line="405" w:lineRule="auto"/>
        <w:rPr/>
      </w:pPr>
      <w:r>
        <w:rPr>
          <w:spacing w:val="-11"/>
        </w:rPr>
        <w:t>备注：包括但不限于以上标准，如遇国家颁布执行新的法律法规、</w:t>
      </w:r>
      <w:r>
        <w:rPr>
          <w:spacing w:val="-2"/>
        </w:rPr>
        <w:t>规范标准，按照新要求执行</w:t>
      </w:r>
    </w:p>
    <w:p>
      <w:pPr>
        <w:ind w:left="672"/>
        <w:spacing w:before="1" w:line="224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二、接入条件</w:t>
      </w:r>
    </w:p>
    <w:p>
      <w:pPr>
        <w:pStyle w:val="BodyText"/>
        <w:ind w:left="494"/>
        <w:spacing w:before="266" w:line="216" w:lineRule="auto"/>
        <w:outlineLvl w:val="2"/>
        <w:rPr/>
      </w:pPr>
      <w:r>
        <w:rPr>
          <w:b/>
          <w:bCs/>
          <w:spacing w:val="-11"/>
        </w:rPr>
        <w:t>（</w:t>
      </w:r>
      <w:r>
        <w:rPr>
          <w:spacing w:val="-65"/>
        </w:rPr>
        <w:t xml:space="preserve"> </w:t>
      </w:r>
      <w:r>
        <w:rPr>
          <w:b/>
          <w:bCs/>
          <w:spacing w:val="-11"/>
        </w:rPr>
        <w:t>1）申请用户应具备以下条件：</w:t>
      </w:r>
    </w:p>
    <w:p>
      <w:pPr>
        <w:pStyle w:val="BodyText"/>
        <w:ind w:left="602"/>
        <w:spacing w:before="295" w:line="216" w:lineRule="auto"/>
        <w:rPr/>
      </w:pPr>
      <w:r>
        <w:rPr>
          <w:spacing w:val="-4"/>
        </w:rPr>
        <w:t>1、在中华人民共和国境内注册的法人企业；</w:t>
      </w:r>
    </w:p>
    <w:p>
      <w:pPr>
        <w:pStyle w:val="BodyText"/>
        <w:ind w:left="32" w:right="414" w:firstLine="563"/>
        <w:spacing w:before="298" w:line="411" w:lineRule="auto"/>
        <w:rPr/>
      </w:pPr>
      <w:r>
        <w:rPr>
          <w:spacing w:val="-1"/>
        </w:rPr>
        <w:t>2、经营行为符合国家法律法规、地方政府规定及相关产业政</w:t>
      </w:r>
      <w:r>
        <w:rPr>
          <w:spacing w:val="-23"/>
        </w:rPr>
        <w:t>策；</w:t>
      </w:r>
    </w:p>
    <w:p>
      <w:pPr>
        <w:pStyle w:val="BodyText"/>
        <w:ind w:left="606"/>
        <w:spacing w:line="217" w:lineRule="auto"/>
        <w:rPr/>
      </w:pPr>
      <w:r>
        <w:rPr>
          <w:spacing w:val="-5"/>
        </w:rPr>
        <w:t>3、具有天然气业务相关行政许可；</w:t>
      </w:r>
    </w:p>
    <w:p>
      <w:pPr>
        <w:pStyle w:val="BodyText"/>
        <w:ind w:left="594"/>
        <w:spacing w:before="294" w:line="218" w:lineRule="auto"/>
        <w:rPr/>
      </w:pPr>
      <w:r>
        <w:rPr>
          <w:spacing w:val="-2"/>
        </w:rPr>
        <w:t>4、具有安全生产相关资质、资格；</w:t>
      </w:r>
    </w:p>
    <w:p>
      <w:pPr>
        <w:pStyle w:val="BodyText"/>
        <w:ind w:left="598"/>
        <w:spacing w:before="294" w:line="218" w:lineRule="auto"/>
        <w:rPr/>
      </w:pPr>
      <w:r>
        <w:rPr>
          <w:spacing w:val="-3"/>
        </w:rPr>
        <w:t>5、经营和财务状况良好，无违法或不良信用记录。</w:t>
      </w:r>
    </w:p>
    <w:p>
      <w:pPr>
        <w:pStyle w:val="BodyText"/>
        <w:ind w:left="28" w:right="296" w:firstLine="568"/>
        <w:spacing w:before="295" w:line="411" w:lineRule="auto"/>
        <w:rPr/>
      </w:pPr>
      <w:r>
        <w:rPr>
          <w:spacing w:val="-1"/>
        </w:rPr>
        <w:t>6、用户申请接入管网设施的天然气设备应当符合国家质量标</w:t>
      </w:r>
      <w:r>
        <w:rPr>
          <w:spacing w:val="-1"/>
        </w:rPr>
        <w:t>准，并符合咸阳市天然气有限公司相关技术</w:t>
      </w:r>
      <w:r>
        <w:rPr>
          <w:spacing w:val="-2"/>
        </w:rPr>
        <w:t>、安全、环保要求，具</w:t>
      </w:r>
      <w:r>
        <w:rPr>
          <w:spacing w:val="-5"/>
        </w:rPr>
        <w:t>备必要的安全生产条件。</w:t>
      </w:r>
    </w:p>
    <w:p>
      <w:pPr>
        <w:pStyle w:val="BodyText"/>
        <w:ind w:left="576"/>
        <w:spacing w:before="1" w:line="216" w:lineRule="auto"/>
        <w:outlineLvl w:val="2"/>
        <w:rPr/>
      </w:pPr>
      <w:r>
        <w:rPr>
          <w:b/>
          <w:bCs/>
          <w:spacing w:val="-10"/>
        </w:rPr>
        <w:t>（</w:t>
      </w:r>
      <w:r>
        <w:rPr>
          <w:spacing w:val="-70"/>
        </w:rPr>
        <w:t xml:space="preserve"> </w:t>
      </w:r>
      <w:r>
        <w:rPr>
          <w:b/>
          <w:bCs/>
          <w:spacing w:val="-10"/>
        </w:rPr>
        <w:t>2）申请用户应提交以下材料：</w:t>
      </w:r>
    </w:p>
    <w:p>
      <w:pPr>
        <w:pStyle w:val="BodyText"/>
        <w:ind w:left="29" w:right="17" w:firstLine="572"/>
        <w:spacing w:before="300" w:line="411" w:lineRule="auto"/>
        <w:rPr/>
      </w:pPr>
      <w:r>
        <w:rPr>
          <w:spacing w:val="-7"/>
        </w:rPr>
        <w:t>1、</w:t>
      </w:r>
      <w:r>
        <w:rPr>
          <w:spacing w:val="-78"/>
        </w:rPr>
        <w:t xml:space="preserve"> </w:t>
      </w:r>
      <w:r>
        <w:rPr>
          <w:spacing w:val="-7"/>
        </w:rPr>
        <w:t>申请开口接气的文件（</w:t>
      </w:r>
      <w:r>
        <w:rPr>
          <w:spacing w:val="-49"/>
        </w:rPr>
        <w:t xml:space="preserve"> </w:t>
      </w:r>
      <w:r>
        <w:rPr>
          <w:spacing w:val="-7"/>
        </w:rPr>
        <w:t>内容应包括但不限</w:t>
      </w:r>
      <w:r>
        <w:rPr>
          <w:spacing w:val="-8"/>
        </w:rPr>
        <w:t>于：</w:t>
      </w:r>
      <w:r>
        <w:rPr>
          <w:spacing w:val="-74"/>
        </w:rPr>
        <w:t xml:space="preserve"> </w:t>
      </w:r>
      <w:r>
        <w:rPr>
          <w:spacing w:val="-8"/>
        </w:rPr>
        <w:t>申请方名称；</w:t>
      </w:r>
      <w:r>
        <w:rPr>
          <w:spacing w:val="-4"/>
        </w:rPr>
        <w:t>申请方资质；申请方背景情况、股权关系等；申请方特许经营权范围</w:t>
      </w:r>
      <w:r>
        <w:rPr>
          <w:spacing w:val="-4"/>
        </w:rPr>
        <w:t>和期限；申请方下游市场情况；新增下载位置，运行压力；新增下载</w:t>
      </w:r>
      <w:r>
        <w:rPr>
          <w:spacing w:val="-5"/>
        </w:rPr>
        <w:t>点与拟建连接管线、用户门站的示意图；投产后</w:t>
      </w:r>
      <w:r>
        <w:rPr>
          <w:spacing w:val="-5"/>
        </w:rPr>
        <w:t xml:space="preserve"> </w:t>
      </w:r>
      <w:r>
        <w:rPr>
          <w:spacing w:val="-5"/>
        </w:rPr>
        <w:t>5</w:t>
      </w:r>
      <w:r>
        <w:rPr>
          <w:spacing w:val="-26"/>
        </w:rPr>
        <w:t xml:space="preserve"> </w:t>
      </w:r>
      <w:r>
        <w:rPr>
          <w:spacing w:val="-5"/>
        </w:rPr>
        <w:t>年每年的下载量；</w:t>
      </w:r>
      <w:r>
        <w:rPr>
          <w:spacing w:val="-1"/>
        </w:rPr>
        <w:t>新增下载项目资源方；下游天然气设施建设或运行情况等</w:t>
      </w:r>
      <w:r>
        <w:rPr>
          <w:spacing w:val="-52"/>
        </w:rPr>
        <w:t>）；</w:t>
      </w:r>
    </w:p>
    <w:p>
      <w:pPr>
        <w:pStyle w:val="BodyText"/>
        <w:ind w:left="595"/>
        <w:spacing w:before="1" w:line="217" w:lineRule="auto"/>
        <w:rPr/>
      </w:pPr>
      <w:r>
        <w:rPr>
          <w:spacing w:val="-6"/>
        </w:rPr>
        <w:t>2、企业营业执照复印件；</w:t>
      </w:r>
    </w:p>
    <w:p>
      <w:pPr>
        <w:spacing w:line="217" w:lineRule="auto"/>
        <w:sectPr>
          <w:pgSz w:w="11907" w:h="16839"/>
          <w:pgMar w:top="1431" w:right="1712" w:bottom="0" w:left="1785" w:header="0" w:footer="0" w:gutter="0"/>
        </w:sectPr>
        <w:rPr/>
      </w:pPr>
    </w:p>
    <w:p>
      <w:pPr>
        <w:pStyle w:val="BodyText"/>
        <w:ind w:left="606"/>
        <w:spacing w:before="180" w:line="218" w:lineRule="auto"/>
        <w:rPr/>
      </w:pPr>
      <w:r>
        <w:rPr>
          <w:spacing w:val="-7"/>
        </w:rPr>
        <w:t>3、法人身份证复印件；</w:t>
      </w:r>
    </w:p>
    <w:p>
      <w:pPr>
        <w:pStyle w:val="BodyText"/>
        <w:ind w:left="594"/>
        <w:spacing w:before="293" w:line="218" w:lineRule="auto"/>
        <w:rPr/>
      </w:pPr>
      <w:r>
        <w:rPr>
          <w:spacing w:val="-6"/>
        </w:rPr>
        <w:t>4、燃气经营许可证复印件；</w:t>
      </w:r>
    </w:p>
    <w:p>
      <w:pPr>
        <w:pStyle w:val="BodyText"/>
        <w:ind w:left="598"/>
        <w:spacing w:before="293" w:line="217" w:lineRule="auto"/>
        <w:rPr/>
      </w:pPr>
      <w:r>
        <w:rPr>
          <w:spacing w:val="-6"/>
        </w:rPr>
        <w:t>5、银行开户证明复印件；</w:t>
      </w:r>
    </w:p>
    <w:p>
      <w:pPr>
        <w:pStyle w:val="BodyText"/>
        <w:ind w:left="37" w:right="59" w:firstLine="560"/>
        <w:spacing w:before="293" w:line="412" w:lineRule="auto"/>
        <w:rPr/>
      </w:pPr>
      <w:r>
        <w:rPr>
          <w:spacing w:val="-1"/>
        </w:rPr>
        <w:t>6、特许经营协议，或政府同意为目标区域和目标项目等开展燃</w:t>
      </w:r>
      <w:r>
        <w:rPr>
          <w:spacing w:val="-3"/>
        </w:rPr>
        <w:t>气经营的支持性文件；</w:t>
      </w:r>
    </w:p>
    <w:p>
      <w:pPr>
        <w:pStyle w:val="BodyText"/>
        <w:ind w:left="32" w:right="57" w:firstLine="565"/>
        <w:spacing w:before="2" w:line="411" w:lineRule="auto"/>
        <w:rPr/>
      </w:pPr>
      <w:r>
        <w:rPr>
          <w:spacing w:val="-1"/>
        </w:rPr>
        <w:t>7、与上游供气单位签订的天然气购销合同（卸气点须为陕西省</w:t>
      </w:r>
      <w:r>
        <w:rPr/>
        <w:t>天然气股份有限公司永乐分输站</w:t>
      </w:r>
      <w:r>
        <w:rPr>
          <w:spacing w:val="-78"/>
          <w:w w:val="99"/>
        </w:rPr>
        <w:t>），</w:t>
      </w:r>
      <w:r>
        <w:rPr/>
        <w:t>或上游供气单位出具的意向供气</w:t>
      </w:r>
      <w:r>
        <w:rPr>
          <w:spacing w:val="-9"/>
        </w:rPr>
        <w:t>支持性文件；</w:t>
      </w:r>
    </w:p>
    <w:p>
      <w:pPr>
        <w:pStyle w:val="BodyText"/>
        <w:ind w:left="597"/>
        <w:spacing w:line="217" w:lineRule="auto"/>
        <w:rPr/>
      </w:pPr>
      <w:r>
        <w:rPr>
          <w:spacing w:val="-2"/>
        </w:rPr>
        <w:t>8、企业信用报告（中国人民银行</w:t>
      </w:r>
      <w:r>
        <w:rPr>
          <w:spacing w:val="-67"/>
        </w:rPr>
        <w:t>）；</w:t>
      </w:r>
    </w:p>
    <w:p>
      <w:pPr>
        <w:pStyle w:val="BodyText"/>
        <w:ind w:left="597"/>
        <w:spacing w:before="294" w:line="219" w:lineRule="auto"/>
        <w:rPr/>
      </w:pPr>
      <w:r>
        <w:rPr>
          <w:spacing w:val="-6"/>
        </w:rPr>
        <w:t>9、近三年财务审计报告；</w:t>
      </w:r>
    </w:p>
    <w:p>
      <w:pPr>
        <w:pStyle w:val="BodyText"/>
        <w:ind w:left="602"/>
        <w:spacing w:before="292" w:line="219" w:lineRule="auto"/>
        <w:rPr/>
      </w:pPr>
      <w:r>
        <w:rPr>
          <w:spacing w:val="-7"/>
        </w:rPr>
        <w:t>10、企业市场调研报告；</w:t>
      </w:r>
    </w:p>
    <w:p>
      <w:pPr>
        <w:pStyle w:val="BodyText"/>
        <w:ind w:left="587"/>
        <w:spacing w:before="293" w:line="216" w:lineRule="auto"/>
        <w:rPr/>
      </w:pPr>
      <w:r>
        <w:rPr>
          <w:spacing w:val="-1"/>
        </w:rPr>
        <w:t>备注：以上资料均需提供扫描件</w:t>
      </w:r>
    </w:p>
    <w:p>
      <w:pPr>
        <w:ind w:left="674"/>
        <w:spacing w:before="277" w:line="224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三、接入办理流程</w:t>
      </w:r>
    </w:p>
    <w:p>
      <w:pPr>
        <w:pStyle w:val="BodyText"/>
        <w:ind w:left="602"/>
        <w:spacing w:before="268" w:line="216" w:lineRule="auto"/>
        <w:rPr/>
      </w:pPr>
      <w:r>
        <w:rPr>
          <w:spacing w:val="-2"/>
        </w:rPr>
        <w:t>1、用户提交接入申请文件及相关材料；</w:t>
      </w:r>
    </w:p>
    <w:p>
      <w:pPr>
        <w:pStyle w:val="BodyText"/>
        <w:ind w:left="44" w:right="39" w:firstLine="551"/>
        <w:spacing w:before="294" w:line="412" w:lineRule="auto"/>
        <w:rPr/>
      </w:pPr>
      <w:r>
        <w:rPr>
          <w:spacing w:val="-2"/>
        </w:rPr>
        <w:t>2、</w:t>
      </w:r>
      <w:r>
        <w:rPr>
          <w:spacing w:val="-81"/>
        </w:rPr>
        <w:t xml:space="preserve"> </w:t>
      </w:r>
      <w:r>
        <w:rPr>
          <w:spacing w:val="-2"/>
        </w:rPr>
        <w:t>由我公司相关部门进行经济性、技术性、安全性</w:t>
      </w:r>
      <w:r>
        <w:rPr>
          <w:spacing w:val="-3"/>
        </w:rPr>
        <w:t>等评审，评</w:t>
      </w:r>
      <w:r>
        <w:rPr>
          <w:spacing w:val="-3"/>
        </w:rPr>
        <w:t>审完成后报公司审批；</w:t>
      </w:r>
    </w:p>
    <w:p>
      <w:pPr>
        <w:pStyle w:val="BodyText"/>
        <w:ind w:left="606"/>
        <w:spacing w:before="1" w:line="218" w:lineRule="auto"/>
        <w:rPr/>
      </w:pPr>
      <w:r>
        <w:rPr>
          <w:spacing w:val="-3"/>
        </w:rPr>
        <w:t>3、反馈用户公司审批结果。</w:t>
      </w:r>
    </w:p>
    <w:p>
      <w:pPr>
        <w:spacing w:line="218" w:lineRule="auto"/>
        <w:sectPr>
          <w:pgSz w:w="11907" w:h="16839"/>
          <w:pgMar w:top="1431" w:right="1785" w:bottom="0" w:left="1785" w:header="0" w:footer="0" w:gutter="0"/>
        </w:sectPr>
        <w:rPr/>
      </w:pPr>
    </w:p>
    <w:p>
      <w:pPr>
        <w:ind w:left="686"/>
        <w:spacing w:before="162" w:line="225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四、接入位置</w:t>
      </w:r>
    </w:p>
    <w:p>
      <w:pPr>
        <w:spacing w:before="117"/>
        <w:rPr/>
      </w:pPr>
      <w:r/>
    </w:p>
    <w:p>
      <w:pPr>
        <w:spacing w:before="117"/>
        <w:rPr/>
      </w:pPr>
      <w:r/>
    </w:p>
    <w:tbl>
      <w:tblPr>
        <w:tblStyle w:val="TableNormal"/>
        <w:tblW w:w="8302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094"/>
        <w:gridCol w:w="2024"/>
        <w:gridCol w:w="2090"/>
        <w:gridCol w:w="2094"/>
      </w:tblGrid>
      <w:tr>
        <w:trPr>
          <w:trHeight w:val="1132" w:hRule="atLeast"/>
        </w:trPr>
        <w:tc>
          <w:tcPr>
            <w:tcW w:w="2094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1"/>
              <w:spacing w:before="91" w:line="21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spacing w:val="-5"/>
              </w:rPr>
              <w:t>场站名称</w:t>
            </w:r>
          </w:p>
        </w:tc>
        <w:tc>
          <w:tcPr>
            <w:tcW w:w="2024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7"/>
              <w:spacing w:before="91" w:line="21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spacing w:val="-5"/>
              </w:rPr>
              <w:t>管线名称</w:t>
            </w:r>
          </w:p>
        </w:tc>
        <w:tc>
          <w:tcPr>
            <w:tcW w:w="2090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70"/>
              <w:spacing w:before="91"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spacing w:val="-5"/>
              </w:rPr>
              <w:t>地址</w:t>
            </w:r>
          </w:p>
        </w:tc>
        <w:tc>
          <w:tcPr>
            <w:tcW w:w="2094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0"/>
              <w:spacing w:before="91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spacing w:val="-5"/>
              </w:rPr>
              <w:t>接入压力</w:t>
            </w:r>
          </w:p>
        </w:tc>
      </w:tr>
      <w:tr>
        <w:trPr>
          <w:trHeight w:val="1130" w:hRule="atLeast"/>
        </w:trPr>
        <w:tc>
          <w:tcPr>
            <w:tcW w:w="2094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0"/>
              <w:spacing w:before="78" w:line="218" w:lineRule="auto"/>
              <w:rPr/>
            </w:pPr>
            <w:r>
              <w:rPr>
                <w:spacing w:val="-3"/>
              </w:rPr>
              <w:t>乾县分输站</w:t>
            </w:r>
          </w:p>
        </w:tc>
        <w:tc>
          <w:tcPr>
            <w:tcW w:w="2024" w:type="dxa"/>
            <w:vAlign w:val="top"/>
          </w:tcPr>
          <w:p>
            <w:pPr>
              <w:pStyle w:val="TableText"/>
              <w:ind w:left="541" w:right="169" w:hanging="227"/>
              <w:spacing w:before="288" w:line="242" w:lineRule="auto"/>
              <w:rPr/>
            </w:pPr>
            <w:r>
              <w:rPr>
                <w:spacing w:val="15"/>
              </w:rPr>
              <w:t>“气化咸阳”</w:t>
            </w:r>
            <w:r>
              <w:rPr>
                <w:spacing w:val="-3"/>
              </w:rPr>
              <w:t>长输管道</w:t>
            </w:r>
          </w:p>
        </w:tc>
        <w:tc>
          <w:tcPr>
            <w:tcW w:w="2090" w:type="dxa"/>
            <w:vAlign w:val="top"/>
          </w:tcPr>
          <w:p>
            <w:pPr>
              <w:pStyle w:val="TableText"/>
              <w:ind w:left="231"/>
              <w:spacing w:before="132" w:line="218" w:lineRule="auto"/>
              <w:rPr/>
            </w:pPr>
            <w:r>
              <w:rPr>
                <w:spacing w:val="-4"/>
              </w:rPr>
              <w:t>陕西省咸阳市乾</w:t>
            </w:r>
          </w:p>
          <w:p>
            <w:pPr>
              <w:pStyle w:val="TableText"/>
              <w:ind w:left="214"/>
              <w:spacing w:before="193" w:line="203" w:lineRule="auto"/>
              <w:rPr/>
            </w:pPr>
            <w:r>
              <w:rPr>
                <w:spacing w:val="-2"/>
              </w:rPr>
              <w:t>县阳洪镇好</w:t>
            </w:r>
            <w:r>
              <w:rPr>
                <w:rFonts w:ascii="Microsoft YaHei" w:hAnsi="Microsoft YaHei" w:eastAsia="Microsoft YaHei" w:cs="Microsoft YaHei"/>
                <w:spacing w:val="-2"/>
              </w:rPr>
              <w:t>時</w:t>
            </w:r>
            <w:r>
              <w:rPr>
                <w:spacing w:val="-2"/>
              </w:rPr>
              <w:t>村</w:t>
            </w:r>
          </w:p>
        </w:tc>
        <w:tc>
          <w:tcPr>
            <w:tcW w:w="2094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6"/>
              <w:spacing w:before="78" w:line="220" w:lineRule="auto"/>
              <w:rPr/>
            </w:pPr>
            <w:r>
              <w:rPr>
                <w:spacing w:val="-5"/>
              </w:rPr>
              <w:t>不高于</w:t>
            </w:r>
            <w:r>
              <w:rPr>
                <w:spacing w:val="-30"/>
              </w:rPr>
              <w:t xml:space="preserve"> </w:t>
            </w:r>
            <w:r>
              <w:rPr>
                <w:spacing w:val="-5"/>
              </w:rPr>
              <w:t>1.0MPa</w:t>
            </w:r>
          </w:p>
        </w:tc>
      </w:tr>
      <w:tr>
        <w:trPr>
          <w:trHeight w:val="1127" w:hRule="atLeast"/>
        </w:trPr>
        <w:tc>
          <w:tcPr>
            <w:tcW w:w="2094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9"/>
              <w:spacing w:before="78" w:line="218" w:lineRule="auto"/>
              <w:rPr/>
            </w:pPr>
            <w:r>
              <w:rPr>
                <w:spacing w:val="-3"/>
              </w:rPr>
              <w:t>永寿分输站</w:t>
            </w:r>
          </w:p>
        </w:tc>
        <w:tc>
          <w:tcPr>
            <w:tcW w:w="2024" w:type="dxa"/>
            <w:vAlign w:val="top"/>
          </w:tcPr>
          <w:p>
            <w:pPr>
              <w:pStyle w:val="TableText"/>
              <w:ind w:left="541" w:right="169" w:hanging="227"/>
              <w:spacing w:before="287" w:line="242" w:lineRule="auto"/>
              <w:rPr/>
            </w:pPr>
            <w:r>
              <w:rPr>
                <w:spacing w:val="15"/>
              </w:rPr>
              <w:t>“气化咸阳”</w:t>
            </w:r>
            <w:r>
              <w:rPr>
                <w:spacing w:val="-3"/>
              </w:rPr>
              <w:t>长输管道</w:t>
            </w:r>
          </w:p>
        </w:tc>
        <w:tc>
          <w:tcPr>
            <w:tcW w:w="2090" w:type="dxa"/>
            <w:vAlign w:val="top"/>
          </w:tcPr>
          <w:p>
            <w:pPr>
              <w:pStyle w:val="TableText"/>
              <w:ind w:left="215" w:right="202" w:firstLine="15"/>
              <w:spacing w:before="286" w:line="242" w:lineRule="auto"/>
              <w:rPr/>
            </w:pPr>
            <w:r>
              <w:rPr>
                <w:spacing w:val="-5"/>
              </w:rPr>
              <w:t>陕西省咸阳市永</w:t>
            </w:r>
            <w:r>
              <w:rPr>
                <w:spacing w:val="-8"/>
              </w:rPr>
              <w:t>寿县兴寿路</w:t>
            </w:r>
            <w:r>
              <w:rPr>
                <w:spacing w:val="-38"/>
              </w:rPr>
              <w:t xml:space="preserve"> </w:t>
            </w:r>
            <w:r>
              <w:rPr>
                <w:spacing w:val="-8"/>
              </w:rPr>
              <w:t>2</w:t>
            </w:r>
            <w:r>
              <w:rPr>
                <w:spacing w:val="-40"/>
              </w:rPr>
              <w:t xml:space="preserve"> </w:t>
            </w:r>
            <w:r>
              <w:rPr>
                <w:spacing w:val="-8"/>
              </w:rPr>
              <w:t>号</w:t>
            </w:r>
          </w:p>
        </w:tc>
        <w:tc>
          <w:tcPr>
            <w:tcW w:w="2094" w:type="dxa"/>
            <w:vAlign w:val="top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6"/>
              <w:spacing w:before="78" w:line="220" w:lineRule="auto"/>
              <w:rPr/>
            </w:pPr>
            <w:r>
              <w:rPr>
                <w:spacing w:val="-5"/>
              </w:rPr>
              <w:t>不高于</w:t>
            </w:r>
            <w:r>
              <w:rPr>
                <w:spacing w:val="-30"/>
              </w:rPr>
              <w:t xml:space="preserve"> </w:t>
            </w:r>
            <w:r>
              <w:rPr>
                <w:spacing w:val="-5"/>
              </w:rPr>
              <w:t>1.0MPa</w:t>
            </w:r>
          </w:p>
        </w:tc>
      </w:tr>
      <w:tr>
        <w:trPr>
          <w:trHeight w:val="1129" w:hRule="atLeast"/>
        </w:trPr>
        <w:tc>
          <w:tcPr>
            <w:tcW w:w="2094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5"/>
              <w:spacing w:before="78" w:line="218" w:lineRule="auto"/>
              <w:rPr/>
            </w:pPr>
            <w:r>
              <w:rPr>
                <w:spacing w:val="-2"/>
              </w:rPr>
              <w:t>彬州分输站</w:t>
            </w:r>
          </w:p>
        </w:tc>
        <w:tc>
          <w:tcPr>
            <w:tcW w:w="2024" w:type="dxa"/>
            <w:vAlign w:val="top"/>
          </w:tcPr>
          <w:p>
            <w:pPr>
              <w:pStyle w:val="TableText"/>
              <w:ind w:left="541" w:right="169" w:hanging="227"/>
              <w:spacing w:before="290" w:line="242" w:lineRule="auto"/>
              <w:rPr/>
            </w:pPr>
            <w:r>
              <w:rPr>
                <w:spacing w:val="15"/>
              </w:rPr>
              <w:t>“气化咸阳”</w:t>
            </w:r>
            <w:r>
              <w:rPr>
                <w:spacing w:val="-3"/>
              </w:rPr>
              <w:t>长输管道</w:t>
            </w:r>
          </w:p>
        </w:tc>
        <w:tc>
          <w:tcPr>
            <w:tcW w:w="2090" w:type="dxa"/>
            <w:vAlign w:val="top"/>
          </w:tcPr>
          <w:p>
            <w:pPr>
              <w:pStyle w:val="TableText"/>
              <w:ind w:left="222" w:right="202" w:firstLine="9"/>
              <w:spacing w:before="290" w:line="241" w:lineRule="auto"/>
              <w:rPr/>
            </w:pPr>
            <w:r>
              <w:rPr>
                <w:spacing w:val="-5"/>
              </w:rPr>
              <w:t>陕西省咸阳市彬</w:t>
            </w:r>
            <w:r>
              <w:rPr>
                <w:spacing w:val="-3"/>
              </w:rPr>
              <w:t>州市太峪镇景村</w:t>
            </w:r>
          </w:p>
        </w:tc>
        <w:tc>
          <w:tcPr>
            <w:tcW w:w="2094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6"/>
              <w:spacing w:before="78" w:line="220" w:lineRule="auto"/>
              <w:rPr/>
            </w:pPr>
            <w:r>
              <w:rPr>
                <w:spacing w:val="-5"/>
              </w:rPr>
              <w:t>不高于</w:t>
            </w:r>
            <w:r>
              <w:rPr>
                <w:spacing w:val="-30"/>
              </w:rPr>
              <w:t xml:space="preserve"> </w:t>
            </w:r>
            <w:r>
              <w:rPr>
                <w:spacing w:val="-5"/>
              </w:rPr>
              <w:t>1.0MPa</w:t>
            </w:r>
          </w:p>
        </w:tc>
      </w:tr>
      <w:tr>
        <w:trPr>
          <w:trHeight w:val="1242" w:hRule="atLeast"/>
        </w:trPr>
        <w:tc>
          <w:tcPr>
            <w:tcW w:w="2094" w:type="dxa"/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6"/>
              <w:spacing w:before="78" w:line="220" w:lineRule="auto"/>
              <w:rPr/>
            </w:pPr>
            <w:r>
              <w:rPr>
                <w:spacing w:val="-3"/>
              </w:rPr>
              <w:t>旬邑分输站</w:t>
            </w:r>
          </w:p>
        </w:tc>
        <w:tc>
          <w:tcPr>
            <w:tcW w:w="202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1" w:right="169" w:hanging="227"/>
              <w:spacing w:before="78" w:line="242" w:lineRule="auto"/>
              <w:rPr/>
            </w:pPr>
            <w:r>
              <w:rPr>
                <w:spacing w:val="15"/>
              </w:rPr>
              <w:t>“气化咸阳”</w:t>
            </w:r>
            <w:r>
              <w:rPr>
                <w:spacing w:val="-3"/>
              </w:rPr>
              <w:t>长输管道</w:t>
            </w:r>
          </w:p>
        </w:tc>
        <w:tc>
          <w:tcPr>
            <w:tcW w:w="2090" w:type="dxa"/>
            <w:vAlign w:val="top"/>
          </w:tcPr>
          <w:p>
            <w:pPr>
              <w:pStyle w:val="TableText"/>
              <w:ind w:left="231"/>
              <w:spacing w:before="39" w:line="218" w:lineRule="auto"/>
              <w:rPr/>
            </w:pPr>
            <w:r>
              <w:rPr>
                <w:spacing w:val="-4"/>
              </w:rPr>
              <w:t>陕西省咸阳市旬</w:t>
            </w:r>
          </w:p>
          <w:p>
            <w:pPr>
              <w:pStyle w:val="TableText"/>
              <w:ind w:left="192"/>
              <w:spacing w:before="28" w:line="219" w:lineRule="auto"/>
              <w:rPr/>
            </w:pPr>
            <w:r>
              <w:rPr>
                <w:spacing w:val="-9"/>
              </w:rPr>
              <w:t>邑县</w:t>
            </w:r>
            <w:r>
              <w:rPr>
                <w:spacing w:val="-45"/>
              </w:rPr>
              <w:t xml:space="preserve"> </w:t>
            </w:r>
            <w:r>
              <w:rPr>
                <w:spacing w:val="-9"/>
              </w:rPr>
              <w:t>G211</w:t>
            </w:r>
            <w:r>
              <w:rPr>
                <w:spacing w:val="-37"/>
              </w:rPr>
              <w:t xml:space="preserve"> </w:t>
            </w:r>
            <w:r>
              <w:rPr>
                <w:spacing w:val="-9"/>
              </w:rPr>
              <w:t>与迎宾</w:t>
            </w:r>
          </w:p>
          <w:p>
            <w:pPr>
              <w:pStyle w:val="TableText"/>
              <w:ind w:left="222"/>
              <w:spacing w:before="26" w:line="220" w:lineRule="auto"/>
              <w:rPr/>
            </w:pPr>
            <w:r>
              <w:rPr>
                <w:spacing w:val="-3"/>
              </w:rPr>
              <w:t>大道交叉口东南</w:t>
            </w:r>
          </w:p>
          <w:p>
            <w:pPr>
              <w:pStyle w:val="TableText"/>
              <w:ind w:left="455"/>
              <w:spacing w:before="27" w:line="197" w:lineRule="auto"/>
              <w:rPr/>
            </w:pPr>
            <w:r>
              <w:rPr>
                <w:spacing w:val="-6"/>
              </w:rPr>
              <w:t>方向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900</w:t>
            </w:r>
            <w:r>
              <w:rPr>
                <w:spacing w:val="-44"/>
              </w:rPr>
              <w:t xml:space="preserve"> </w:t>
            </w:r>
            <w:r>
              <w:rPr>
                <w:spacing w:val="-6"/>
              </w:rPr>
              <w:t>米</w:t>
            </w:r>
          </w:p>
        </w:tc>
        <w:tc>
          <w:tcPr>
            <w:tcW w:w="2094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6"/>
              <w:spacing w:before="78" w:line="220" w:lineRule="auto"/>
              <w:rPr/>
            </w:pPr>
            <w:r>
              <w:rPr>
                <w:spacing w:val="-5"/>
              </w:rPr>
              <w:t>不高于</w:t>
            </w:r>
            <w:r>
              <w:rPr>
                <w:spacing w:val="-30"/>
              </w:rPr>
              <w:t xml:space="preserve"> </w:t>
            </w:r>
            <w:r>
              <w:rPr>
                <w:spacing w:val="-5"/>
              </w:rPr>
              <w:t>1.0MPa</w:t>
            </w:r>
          </w:p>
        </w:tc>
      </w:tr>
      <w:tr>
        <w:trPr>
          <w:trHeight w:val="1132" w:hRule="atLeast"/>
        </w:trPr>
        <w:tc>
          <w:tcPr>
            <w:tcW w:w="2094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3"/>
              <w:spacing w:before="78" w:line="218" w:lineRule="auto"/>
              <w:rPr/>
            </w:pPr>
            <w:r>
              <w:rPr>
                <w:spacing w:val="-4"/>
              </w:rPr>
              <w:t>淳化分输站</w:t>
            </w:r>
          </w:p>
        </w:tc>
        <w:tc>
          <w:tcPr>
            <w:tcW w:w="2024" w:type="dxa"/>
            <w:vAlign w:val="top"/>
          </w:tcPr>
          <w:p>
            <w:pPr>
              <w:pStyle w:val="TableText"/>
              <w:ind w:left="541" w:right="169" w:hanging="227"/>
              <w:spacing w:before="290" w:line="242" w:lineRule="auto"/>
              <w:rPr/>
            </w:pPr>
            <w:r>
              <w:rPr>
                <w:spacing w:val="15"/>
              </w:rPr>
              <w:t>“气化咸阳”</w:t>
            </w:r>
            <w:r>
              <w:rPr>
                <w:spacing w:val="-3"/>
              </w:rPr>
              <w:t>长输管道</w:t>
            </w:r>
          </w:p>
        </w:tc>
        <w:tc>
          <w:tcPr>
            <w:tcW w:w="2090" w:type="dxa"/>
            <w:vAlign w:val="top"/>
          </w:tcPr>
          <w:p>
            <w:pPr>
              <w:pStyle w:val="TableText"/>
              <w:ind w:left="231"/>
              <w:spacing w:before="134" w:line="218" w:lineRule="auto"/>
              <w:rPr/>
            </w:pPr>
            <w:r>
              <w:rPr>
                <w:spacing w:val="-4"/>
              </w:rPr>
              <w:t>陕西省咸阳市淳</w:t>
            </w:r>
          </w:p>
          <w:p>
            <w:pPr>
              <w:pStyle w:val="TableText"/>
              <w:ind w:left="220"/>
              <w:spacing w:before="28" w:line="217" w:lineRule="auto"/>
              <w:rPr/>
            </w:pPr>
            <w:r>
              <w:rPr>
                <w:spacing w:val="-3"/>
              </w:rPr>
              <w:t>化县城关街道辛</w:t>
            </w:r>
          </w:p>
          <w:p>
            <w:pPr>
              <w:pStyle w:val="TableText"/>
              <w:ind w:left="814"/>
              <w:spacing w:before="29" w:line="217" w:lineRule="auto"/>
              <w:rPr/>
            </w:pPr>
            <w:r>
              <w:rPr>
                <w:spacing w:val="-4"/>
              </w:rPr>
              <w:t>店村</w:t>
            </w:r>
          </w:p>
        </w:tc>
        <w:tc>
          <w:tcPr>
            <w:tcW w:w="2094" w:type="dxa"/>
            <w:vAlign w:val="top"/>
          </w:tcPr>
          <w:p>
            <w:pPr>
              <w:spacing w:line="3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6"/>
              <w:spacing w:before="78" w:line="220" w:lineRule="auto"/>
              <w:rPr/>
            </w:pPr>
            <w:r>
              <w:rPr>
                <w:spacing w:val="-5"/>
              </w:rPr>
              <w:t>不高于</w:t>
            </w:r>
            <w:r>
              <w:rPr>
                <w:spacing w:val="-30"/>
              </w:rPr>
              <w:t xml:space="preserve"> </w:t>
            </w:r>
            <w:r>
              <w:rPr>
                <w:spacing w:val="-5"/>
              </w:rPr>
              <w:t>1.0MPa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1907" w:h="16839"/>
      <w:pgMar w:top="1431" w:right="1785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2016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dcterms:created xsi:type="dcterms:W3CDTF">2026-09-29T10:53:24Z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2026-09-30T12:04:47</vt:filetime>
  </property>
</Properties>
</file>